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0E9E4" w14:textId="77777777" w:rsidR="006D5E0D" w:rsidRPr="006D5E0D" w:rsidRDefault="006D5E0D" w:rsidP="006D5E0D">
      <w:pPr>
        <w:pStyle w:val="Default"/>
        <w:spacing w:before="240"/>
        <w:jc w:val="both"/>
        <w:rPr>
          <w:rFonts w:asciiTheme="minorHAnsi" w:hAnsiTheme="minorHAnsi" w:cstheme="minorHAnsi"/>
          <w:sz w:val="22"/>
          <w:szCs w:val="22"/>
          <w:lang w:val="en-US"/>
        </w:rPr>
      </w:pPr>
      <w:r w:rsidRPr="006D5E0D">
        <w:rPr>
          <w:rFonts w:asciiTheme="minorHAnsi" w:hAnsiTheme="minorHAnsi" w:cstheme="minorHAnsi"/>
          <w:sz w:val="22"/>
          <w:szCs w:val="22"/>
          <w:lang w:val="en-US"/>
        </w:rPr>
        <w:t xml:space="preserve">NOT FOR DISTRIBUTION IN THE UNITED STATES, CANADA, </w:t>
      </w:r>
      <w:proofErr w:type="gramStart"/>
      <w:r w:rsidRPr="006D5E0D">
        <w:rPr>
          <w:rFonts w:asciiTheme="minorHAnsi" w:hAnsiTheme="minorHAnsi" w:cstheme="minorHAnsi"/>
          <w:sz w:val="22"/>
          <w:szCs w:val="22"/>
          <w:lang w:val="en-US"/>
        </w:rPr>
        <w:t>JAPAN</w:t>
      </w:r>
      <w:proofErr w:type="gramEnd"/>
      <w:r w:rsidRPr="006D5E0D">
        <w:rPr>
          <w:rFonts w:asciiTheme="minorHAnsi" w:hAnsiTheme="minorHAnsi" w:cstheme="minorHAnsi"/>
          <w:sz w:val="22"/>
          <w:szCs w:val="22"/>
          <w:lang w:val="en-US"/>
        </w:rPr>
        <w:t xml:space="preserve"> OR AUSTRALIA.</w:t>
      </w:r>
    </w:p>
    <w:p w14:paraId="4F698ADF" w14:textId="77777777" w:rsidR="006D5E0D" w:rsidRPr="006D5E0D" w:rsidRDefault="006D5E0D" w:rsidP="006D5E0D">
      <w:pPr>
        <w:pStyle w:val="Default"/>
        <w:spacing w:before="240"/>
        <w:jc w:val="both"/>
        <w:rPr>
          <w:rFonts w:asciiTheme="minorHAnsi" w:hAnsiTheme="minorHAnsi" w:cstheme="minorHAnsi"/>
          <w:sz w:val="22"/>
          <w:szCs w:val="22"/>
          <w:lang w:val="en-US"/>
        </w:rPr>
      </w:pPr>
      <w:r w:rsidRPr="006D5E0D">
        <w:rPr>
          <w:rFonts w:asciiTheme="minorHAnsi" w:hAnsiTheme="minorHAnsi" w:cstheme="minorHAnsi"/>
          <w:sz w:val="22"/>
          <w:szCs w:val="22"/>
          <w:lang w:val="en-US"/>
        </w:rPr>
        <w:t>THE INFORMATION CONTAINED HEREIN IS NOT FOR RELEASE, PUBLICATION OR DISTRIBUTION, DIRECTLY OR INDIRECTLY, IN ANY JURISDICTION IN WHICH THE DISTRIBUTION, PUBLICATION OR RELEASE WOULD BE UNLAWFUL.</w:t>
      </w:r>
    </w:p>
    <w:p w14:paraId="1F016BF3" w14:textId="77777777" w:rsidR="006D5E0D" w:rsidRPr="006D5E0D" w:rsidRDefault="006D5E0D" w:rsidP="006D5E0D">
      <w:pPr>
        <w:pStyle w:val="Default"/>
        <w:spacing w:before="240"/>
        <w:jc w:val="both"/>
        <w:rPr>
          <w:rFonts w:asciiTheme="minorHAnsi" w:hAnsiTheme="minorHAnsi" w:cstheme="minorHAnsi"/>
          <w:sz w:val="22"/>
          <w:szCs w:val="22"/>
          <w:lang w:val="en-US"/>
        </w:rPr>
      </w:pPr>
      <w:r w:rsidRPr="006D5E0D">
        <w:rPr>
          <w:rFonts w:asciiTheme="minorHAnsi" w:hAnsiTheme="minorHAnsi" w:cstheme="minorHAnsi"/>
          <w:sz w:val="22"/>
          <w:szCs w:val="22"/>
          <w:lang w:val="en-US"/>
        </w:rPr>
        <w:t>THIS ANNOUNCEMENT DOES NOT CONSTITUTE AN OFFER TO SELL OR THE SOLICITATION OF AN OFFER TO BUY, NOR SHALL THERE BE ANY SALE OF THE SECURITIES REFERRED TO HEREIN, IN OR INTO ANY JURISDICTION WHERE SUCH OFFER, SOLICITATION OR SALE WOULD BE UNLAWFUL PRIOR TO REGISTRATION OR QUALIFICATION UNDER THE SECURITIES LAWS OF ANY SUCH JURISDICTION.</w:t>
      </w:r>
    </w:p>
    <w:p w14:paraId="14970213" w14:textId="77777777" w:rsidR="006D5E0D" w:rsidRPr="006D5E0D" w:rsidRDefault="006D5E0D" w:rsidP="006D5E0D">
      <w:pPr>
        <w:pStyle w:val="Default"/>
        <w:spacing w:before="240" w:line="276" w:lineRule="auto"/>
        <w:jc w:val="right"/>
        <w:rPr>
          <w:rFonts w:asciiTheme="minorHAnsi" w:hAnsiTheme="minorHAnsi" w:cstheme="minorHAnsi"/>
          <w:sz w:val="22"/>
          <w:szCs w:val="22"/>
          <w:lang w:val="en-US"/>
        </w:rPr>
      </w:pPr>
      <w:r w:rsidRPr="006D5E0D">
        <w:rPr>
          <w:rFonts w:asciiTheme="minorHAnsi" w:hAnsiTheme="minorHAnsi" w:cstheme="minorHAnsi"/>
          <w:sz w:val="22"/>
          <w:szCs w:val="22"/>
          <w:lang w:val="en-US"/>
        </w:rPr>
        <w:t>Athens, December 8, 2023</w:t>
      </w:r>
    </w:p>
    <w:p w14:paraId="0037609B" w14:textId="77777777" w:rsidR="006D5E0D" w:rsidRPr="006D5E0D" w:rsidRDefault="006D5E0D" w:rsidP="006D5E0D">
      <w:pPr>
        <w:pStyle w:val="Default"/>
        <w:spacing w:before="240" w:line="276" w:lineRule="auto"/>
        <w:jc w:val="center"/>
        <w:rPr>
          <w:rFonts w:asciiTheme="minorHAnsi" w:hAnsiTheme="minorHAnsi" w:cstheme="minorHAnsi"/>
          <w:b/>
          <w:bCs/>
          <w:sz w:val="22"/>
          <w:szCs w:val="22"/>
          <w:lang w:val="en-US"/>
        </w:rPr>
      </w:pPr>
      <w:r w:rsidRPr="006D5E0D">
        <w:rPr>
          <w:rFonts w:asciiTheme="minorHAnsi" w:hAnsiTheme="minorHAnsi" w:cstheme="minorHAnsi"/>
          <w:b/>
          <w:bCs/>
          <w:sz w:val="22"/>
          <w:szCs w:val="22"/>
          <w:lang w:val="en-US"/>
        </w:rPr>
        <w:t>PRESS RELEASE</w:t>
      </w:r>
    </w:p>
    <w:p w14:paraId="6781DBA5" w14:textId="77777777" w:rsidR="006D5E0D" w:rsidRPr="00D86172" w:rsidRDefault="006D5E0D" w:rsidP="006D5E0D">
      <w:pPr>
        <w:pStyle w:val="Default"/>
        <w:spacing w:before="240" w:line="276" w:lineRule="auto"/>
        <w:jc w:val="center"/>
        <w:rPr>
          <w:rFonts w:asciiTheme="minorHAnsi" w:hAnsiTheme="minorHAnsi" w:cstheme="minorHAnsi"/>
          <w:b/>
          <w:bCs/>
          <w:sz w:val="22"/>
          <w:szCs w:val="22"/>
          <w:lang w:val="en-US"/>
        </w:rPr>
      </w:pPr>
      <w:r w:rsidRPr="006D5E0D">
        <w:rPr>
          <w:rFonts w:asciiTheme="minorHAnsi" w:hAnsiTheme="minorHAnsi" w:cstheme="minorHAnsi"/>
          <w:b/>
          <w:bCs/>
          <w:sz w:val="22"/>
          <w:szCs w:val="22"/>
          <w:lang w:val="en-US"/>
        </w:rPr>
        <w:t xml:space="preserve">HRADF: </w:t>
      </w:r>
      <w:r w:rsidRPr="00D86172">
        <w:rPr>
          <w:rFonts w:asciiTheme="minorHAnsi" w:hAnsiTheme="minorHAnsi" w:cstheme="minorHAnsi"/>
          <w:b/>
          <w:bCs/>
          <w:sz w:val="22"/>
          <w:szCs w:val="22"/>
          <w:lang w:val="en-US"/>
        </w:rPr>
        <w:t xml:space="preserve">Pricing of the accelerated bookbuild of 33,619,870 existing shares in </w:t>
      </w:r>
      <w:proofErr w:type="spellStart"/>
      <w:r w:rsidRPr="00D86172">
        <w:rPr>
          <w:rFonts w:asciiTheme="minorHAnsi" w:hAnsiTheme="minorHAnsi" w:cstheme="minorHAnsi"/>
          <w:b/>
          <w:bCs/>
          <w:sz w:val="22"/>
          <w:szCs w:val="22"/>
          <w:lang w:val="en-US"/>
        </w:rPr>
        <w:t>HELLENiQ</w:t>
      </w:r>
      <w:proofErr w:type="spellEnd"/>
      <w:r w:rsidRPr="00D86172">
        <w:rPr>
          <w:rFonts w:asciiTheme="minorHAnsi" w:hAnsiTheme="minorHAnsi" w:cstheme="minorHAnsi"/>
          <w:b/>
          <w:bCs/>
          <w:sz w:val="22"/>
          <w:szCs w:val="22"/>
          <w:lang w:val="en-US"/>
        </w:rPr>
        <w:t xml:space="preserve"> Energy Holdings S.A.</w:t>
      </w:r>
    </w:p>
    <w:p w14:paraId="7BD431C4" w14:textId="77777777" w:rsidR="006D5E0D" w:rsidRPr="00D86172" w:rsidRDefault="006D5E0D" w:rsidP="006D5E0D">
      <w:pPr>
        <w:rPr>
          <w:rFonts w:asciiTheme="minorHAnsi" w:hAnsiTheme="minorHAnsi" w:cstheme="minorHAnsi"/>
          <w:b/>
          <w:bCs/>
          <w:lang w:val="en-US"/>
        </w:rPr>
      </w:pPr>
    </w:p>
    <w:p w14:paraId="168618DA" w14:textId="77777777" w:rsidR="006D5E0D" w:rsidRPr="00D86172" w:rsidRDefault="006D5E0D" w:rsidP="006D5E0D">
      <w:pPr>
        <w:jc w:val="both"/>
        <w:rPr>
          <w:rFonts w:asciiTheme="minorHAnsi" w:hAnsiTheme="minorHAnsi" w:cstheme="minorHAnsi"/>
          <w:lang w:val="en-US"/>
        </w:rPr>
      </w:pPr>
      <w:r w:rsidRPr="00D86172">
        <w:rPr>
          <w:rFonts w:asciiTheme="minorHAnsi" w:hAnsiTheme="minorHAnsi" w:cstheme="minorHAnsi"/>
          <w:lang w:val="en-US"/>
        </w:rPr>
        <w:t>Further to the previous announcement made on 07.12.2023, the Hellenic Republic Asset Development Fund S.A. (“</w:t>
      </w:r>
      <w:r w:rsidRPr="00D86172">
        <w:rPr>
          <w:rFonts w:asciiTheme="minorHAnsi" w:hAnsiTheme="minorHAnsi" w:cstheme="minorHAnsi"/>
          <w:b/>
          <w:bCs/>
          <w:lang w:val="en-US"/>
        </w:rPr>
        <w:t>HRADF”</w:t>
      </w:r>
      <w:r w:rsidRPr="00D86172">
        <w:rPr>
          <w:rFonts w:asciiTheme="minorHAnsi" w:hAnsiTheme="minorHAnsi" w:cstheme="minorHAnsi"/>
          <w:lang w:val="en-US"/>
        </w:rPr>
        <w:t xml:space="preserve">) announces that HRADF and </w:t>
      </w:r>
      <w:proofErr w:type="spellStart"/>
      <w:r w:rsidRPr="00D86172">
        <w:rPr>
          <w:rFonts w:asciiTheme="minorHAnsi" w:hAnsiTheme="minorHAnsi" w:cstheme="minorHAnsi"/>
          <w:lang w:val="en-US"/>
        </w:rPr>
        <w:t>Paneuropean</w:t>
      </w:r>
      <w:proofErr w:type="spellEnd"/>
      <w:r w:rsidRPr="00D86172">
        <w:rPr>
          <w:rFonts w:asciiTheme="minorHAnsi" w:hAnsiTheme="minorHAnsi" w:cstheme="minorHAnsi"/>
          <w:lang w:val="en-US"/>
        </w:rPr>
        <w:t xml:space="preserve"> Oil and Industrial Holdings S.A. (“</w:t>
      </w:r>
      <w:r w:rsidRPr="00D86172">
        <w:rPr>
          <w:rFonts w:asciiTheme="minorHAnsi" w:hAnsiTheme="minorHAnsi" w:cstheme="minorHAnsi"/>
          <w:b/>
          <w:bCs/>
          <w:lang w:val="en-US"/>
        </w:rPr>
        <w:t>POIH</w:t>
      </w:r>
      <w:r w:rsidRPr="00D86172">
        <w:rPr>
          <w:rFonts w:asciiTheme="minorHAnsi" w:hAnsiTheme="minorHAnsi" w:cstheme="minorHAnsi"/>
          <w:lang w:val="en-US"/>
        </w:rPr>
        <w:t>” and together with HRADF, the “</w:t>
      </w:r>
      <w:r w:rsidRPr="00D86172">
        <w:rPr>
          <w:rFonts w:asciiTheme="minorHAnsi" w:hAnsiTheme="minorHAnsi" w:cstheme="minorHAnsi"/>
          <w:b/>
          <w:bCs/>
          <w:lang w:val="en-US"/>
        </w:rPr>
        <w:t>Selling Shareholders</w:t>
      </w:r>
      <w:r w:rsidRPr="00D86172">
        <w:rPr>
          <w:rFonts w:asciiTheme="minorHAnsi" w:hAnsiTheme="minorHAnsi" w:cstheme="minorHAnsi"/>
          <w:lang w:val="en-US"/>
        </w:rPr>
        <w:t>”) have agreed to sell in total 33,619,870 existing ordinary shares (the “</w:t>
      </w:r>
      <w:r w:rsidRPr="00D86172">
        <w:rPr>
          <w:rFonts w:asciiTheme="minorHAnsi" w:hAnsiTheme="minorHAnsi" w:cstheme="minorHAnsi"/>
          <w:b/>
          <w:bCs/>
          <w:lang w:val="en-US"/>
        </w:rPr>
        <w:t>Shares</w:t>
      </w:r>
      <w:r w:rsidRPr="00D86172">
        <w:rPr>
          <w:rFonts w:asciiTheme="minorHAnsi" w:hAnsiTheme="minorHAnsi" w:cstheme="minorHAnsi"/>
          <w:lang w:val="en-US"/>
        </w:rPr>
        <w:t xml:space="preserve">”) in </w:t>
      </w:r>
      <w:proofErr w:type="spellStart"/>
      <w:r w:rsidRPr="00D86172">
        <w:rPr>
          <w:rFonts w:asciiTheme="minorHAnsi" w:hAnsiTheme="minorHAnsi" w:cstheme="minorHAnsi"/>
          <w:lang w:val="en-US"/>
        </w:rPr>
        <w:t>HELLENiQ</w:t>
      </w:r>
      <w:proofErr w:type="spellEnd"/>
      <w:r w:rsidRPr="00D86172">
        <w:rPr>
          <w:rFonts w:asciiTheme="minorHAnsi" w:hAnsiTheme="minorHAnsi" w:cstheme="minorHAnsi"/>
          <w:lang w:val="en-US"/>
        </w:rPr>
        <w:t xml:space="preserve"> Energy Holdings S.A. (“</w:t>
      </w:r>
      <w:proofErr w:type="spellStart"/>
      <w:r w:rsidRPr="00D86172">
        <w:rPr>
          <w:rFonts w:asciiTheme="minorHAnsi" w:hAnsiTheme="minorHAnsi" w:cstheme="minorHAnsi"/>
          <w:b/>
          <w:bCs/>
          <w:lang w:val="en-US"/>
        </w:rPr>
        <w:t>HELLENiQ</w:t>
      </w:r>
      <w:proofErr w:type="spellEnd"/>
      <w:r w:rsidRPr="00D86172">
        <w:rPr>
          <w:rFonts w:asciiTheme="minorHAnsi" w:hAnsiTheme="minorHAnsi" w:cstheme="minorHAnsi"/>
          <w:lang w:val="en-US"/>
        </w:rPr>
        <w:t>” or the “</w:t>
      </w:r>
      <w:r w:rsidRPr="00D86172">
        <w:rPr>
          <w:rFonts w:asciiTheme="minorHAnsi" w:hAnsiTheme="minorHAnsi" w:cstheme="minorHAnsi"/>
          <w:b/>
          <w:bCs/>
          <w:lang w:val="en-US"/>
        </w:rPr>
        <w:t>Company</w:t>
      </w:r>
      <w:r w:rsidRPr="00D86172">
        <w:rPr>
          <w:rFonts w:asciiTheme="minorHAnsi" w:hAnsiTheme="minorHAnsi" w:cstheme="minorHAnsi"/>
          <w:lang w:val="en-US"/>
        </w:rPr>
        <w:t xml:space="preserve">”), equivalent to 11.0% of the existing ordinary share capital in </w:t>
      </w:r>
      <w:proofErr w:type="spellStart"/>
      <w:r w:rsidRPr="00D86172">
        <w:rPr>
          <w:rFonts w:asciiTheme="minorHAnsi" w:hAnsiTheme="minorHAnsi" w:cstheme="minorHAnsi"/>
          <w:lang w:val="en-US"/>
        </w:rPr>
        <w:t>HELLENiQ</w:t>
      </w:r>
      <w:proofErr w:type="spellEnd"/>
      <w:r w:rsidRPr="00D86172">
        <w:rPr>
          <w:rFonts w:asciiTheme="minorHAnsi" w:hAnsiTheme="minorHAnsi" w:cstheme="minorHAnsi"/>
          <w:lang w:val="en-US"/>
        </w:rPr>
        <w:t xml:space="preserve"> at a price of EUR 7.00 per Share, pursuant to an accelerated </w:t>
      </w:r>
      <w:proofErr w:type="spellStart"/>
      <w:r w:rsidRPr="00D86172">
        <w:rPr>
          <w:rFonts w:asciiTheme="minorHAnsi" w:hAnsiTheme="minorHAnsi" w:cstheme="minorHAnsi"/>
          <w:lang w:val="en-US"/>
        </w:rPr>
        <w:t>bookbuilt</w:t>
      </w:r>
      <w:proofErr w:type="spellEnd"/>
      <w:r w:rsidRPr="00D86172">
        <w:rPr>
          <w:rFonts w:asciiTheme="minorHAnsi" w:hAnsiTheme="minorHAnsi" w:cstheme="minorHAnsi"/>
          <w:lang w:val="en-US"/>
        </w:rPr>
        <w:t xml:space="preserve"> offering </w:t>
      </w:r>
      <w:r w:rsidRPr="006D5E0D">
        <w:rPr>
          <w:rFonts w:asciiTheme="minorHAnsi" w:hAnsiTheme="minorHAnsi" w:cstheme="minorHAnsi"/>
          <w:shd w:val="clear" w:color="auto" w:fill="FFFFFF"/>
          <w:lang w:val="en-US"/>
        </w:rPr>
        <w:t xml:space="preserve">not </w:t>
      </w:r>
      <w:r w:rsidRPr="006D5E0D">
        <w:rPr>
          <w:rFonts w:asciiTheme="minorHAnsi" w:hAnsiTheme="minorHAnsi" w:cstheme="minorHAnsi"/>
          <w:lang w:val="en-US"/>
        </w:rPr>
        <w:t>requiring publication of a prospectus</w:t>
      </w:r>
      <w:r w:rsidRPr="00D86172">
        <w:rPr>
          <w:rFonts w:asciiTheme="minorHAnsi" w:hAnsiTheme="minorHAnsi" w:cstheme="minorHAnsi"/>
          <w:lang w:val="en-US"/>
        </w:rPr>
        <w:t xml:space="preserve"> (the “</w:t>
      </w:r>
      <w:r w:rsidRPr="00D86172">
        <w:rPr>
          <w:rFonts w:asciiTheme="minorHAnsi" w:hAnsiTheme="minorHAnsi" w:cstheme="minorHAnsi"/>
          <w:b/>
          <w:bCs/>
          <w:lang w:val="en-US"/>
        </w:rPr>
        <w:t>Transaction</w:t>
      </w:r>
      <w:r w:rsidRPr="00D86172">
        <w:rPr>
          <w:rFonts w:asciiTheme="minorHAnsi" w:hAnsiTheme="minorHAnsi" w:cstheme="minorHAnsi"/>
          <w:lang w:val="en-US"/>
        </w:rPr>
        <w:t xml:space="preserve">”). </w:t>
      </w:r>
      <w:r w:rsidRPr="006D5E0D">
        <w:rPr>
          <w:rFonts w:asciiTheme="minorHAnsi" w:hAnsiTheme="minorHAnsi" w:cstheme="minorHAnsi"/>
          <w:lang w:val="en-US"/>
        </w:rPr>
        <w:t>HRADF will sell 13,128,317 Shares in the Transaction and will, following completion of the Transaction, hold 31.2% of HELLENiQ’s issued share capital; and POIH will sell 20,491,553 Shares in the Transaction and will, following completion of the Transaction, hold 40.4% of HELLENiQ’s issued share capital</w:t>
      </w:r>
      <w:r w:rsidRPr="00D86172">
        <w:rPr>
          <w:rFonts w:asciiTheme="minorHAnsi" w:hAnsiTheme="minorHAnsi" w:cstheme="minorHAnsi"/>
          <w:lang w:val="en-US"/>
        </w:rPr>
        <w:t>.</w:t>
      </w:r>
    </w:p>
    <w:p w14:paraId="3174255C" w14:textId="77777777" w:rsidR="006D5E0D" w:rsidRPr="00D86172" w:rsidRDefault="006D5E0D" w:rsidP="006D5E0D">
      <w:pPr>
        <w:spacing w:before="240" w:after="140"/>
        <w:jc w:val="both"/>
        <w:rPr>
          <w:rFonts w:asciiTheme="minorHAnsi" w:hAnsiTheme="minorHAnsi" w:cstheme="minorHAnsi"/>
          <w:lang w:val="en-US"/>
        </w:rPr>
      </w:pPr>
      <w:r w:rsidRPr="00D86172">
        <w:rPr>
          <w:rFonts w:asciiTheme="minorHAnsi" w:hAnsiTheme="minorHAnsi" w:cstheme="minorHAnsi"/>
          <w:lang w:val="en-US"/>
        </w:rPr>
        <w:t xml:space="preserve">The completion of the Transaction is expected to occur on 12.12.2023, subject to the satisfaction or waiver of certain customary conditions. </w:t>
      </w:r>
    </w:p>
    <w:p w14:paraId="4FC9FCCF" w14:textId="77777777" w:rsidR="006D5E0D" w:rsidRPr="00D86172" w:rsidRDefault="006D5E0D" w:rsidP="006D5E0D">
      <w:pPr>
        <w:spacing w:before="240" w:after="140"/>
        <w:jc w:val="both"/>
        <w:rPr>
          <w:rFonts w:asciiTheme="minorHAnsi" w:hAnsiTheme="minorHAnsi" w:cstheme="minorHAnsi"/>
          <w:lang w:val="en-US"/>
        </w:rPr>
      </w:pPr>
      <w:proofErr w:type="spellStart"/>
      <w:r w:rsidRPr="00D86172">
        <w:rPr>
          <w:rFonts w:asciiTheme="minorHAnsi" w:hAnsiTheme="minorHAnsi" w:cstheme="minorHAnsi"/>
          <w:lang w:val="en-US"/>
        </w:rPr>
        <w:t>HELLENiQ</w:t>
      </w:r>
      <w:proofErr w:type="spellEnd"/>
      <w:r w:rsidRPr="00D86172">
        <w:rPr>
          <w:rFonts w:asciiTheme="minorHAnsi" w:hAnsiTheme="minorHAnsi" w:cstheme="minorHAnsi"/>
          <w:lang w:val="en-US"/>
        </w:rPr>
        <w:t xml:space="preserve"> will not receive any proceeds from the Transaction.</w:t>
      </w:r>
    </w:p>
    <w:p w14:paraId="12F4687E" w14:textId="77777777" w:rsidR="006D5E0D" w:rsidRPr="00D86172" w:rsidRDefault="006D5E0D" w:rsidP="006D5E0D">
      <w:pPr>
        <w:spacing w:before="240" w:after="140"/>
        <w:jc w:val="both"/>
        <w:rPr>
          <w:rFonts w:asciiTheme="minorHAnsi" w:hAnsiTheme="minorHAnsi" w:cstheme="minorHAnsi"/>
          <w:color w:val="000000"/>
          <w:lang w:val="en-US"/>
        </w:rPr>
      </w:pPr>
      <w:r w:rsidRPr="00D86172">
        <w:rPr>
          <w:rFonts w:asciiTheme="minorHAnsi" w:hAnsiTheme="minorHAnsi" w:cstheme="minorHAnsi"/>
          <w:color w:val="000000"/>
          <w:lang w:val="en-US"/>
        </w:rPr>
        <w:t xml:space="preserve">In connection with the Transaction, the Selling Shareholders have agreed with the Joint Global Coordinators to maintain a lock-up of their remaining shares in the Company for a period of 180 days commencing from the completion of the Transaction, subject to certain carve-outs and exceptions. </w:t>
      </w:r>
    </w:p>
    <w:p w14:paraId="455974B4" w14:textId="77777777" w:rsidR="006D5E0D" w:rsidRPr="00D86172" w:rsidRDefault="006D5E0D" w:rsidP="006D5E0D">
      <w:pPr>
        <w:jc w:val="both"/>
        <w:rPr>
          <w:rFonts w:asciiTheme="minorHAnsi" w:hAnsiTheme="minorHAnsi" w:cstheme="minorHAnsi"/>
          <w:lang w:val="en-US"/>
        </w:rPr>
      </w:pPr>
      <w:r w:rsidRPr="00D86172">
        <w:rPr>
          <w:rFonts w:asciiTheme="minorHAnsi" w:hAnsiTheme="minorHAnsi" w:cstheme="minorHAnsi"/>
          <w:lang w:val="en-US"/>
        </w:rPr>
        <w:t>Goldman Sachs Bank Europe SE (“</w:t>
      </w:r>
      <w:r w:rsidRPr="00D86172">
        <w:rPr>
          <w:rFonts w:asciiTheme="minorHAnsi" w:hAnsiTheme="minorHAnsi" w:cstheme="minorHAnsi"/>
          <w:b/>
          <w:bCs/>
          <w:lang w:val="en-US"/>
        </w:rPr>
        <w:t>Goldman Sachs</w:t>
      </w:r>
      <w:r w:rsidRPr="00D86172">
        <w:rPr>
          <w:rFonts w:asciiTheme="minorHAnsi" w:hAnsiTheme="minorHAnsi" w:cstheme="minorHAnsi"/>
          <w:lang w:val="en-US"/>
        </w:rPr>
        <w:t>”) and J.P. Morgan SE (“</w:t>
      </w:r>
      <w:r w:rsidRPr="00D86172">
        <w:rPr>
          <w:rFonts w:asciiTheme="minorHAnsi" w:hAnsiTheme="minorHAnsi" w:cstheme="minorHAnsi"/>
          <w:b/>
          <w:bCs/>
          <w:lang w:val="en-US"/>
        </w:rPr>
        <w:t>J.P. Morgan</w:t>
      </w:r>
      <w:r w:rsidRPr="00D86172">
        <w:rPr>
          <w:rFonts w:asciiTheme="minorHAnsi" w:hAnsiTheme="minorHAnsi" w:cstheme="minorHAnsi"/>
          <w:lang w:val="en-US"/>
        </w:rPr>
        <w:t>” and, together with Goldman Sachs, the “</w:t>
      </w:r>
      <w:r w:rsidRPr="00D86172">
        <w:rPr>
          <w:rFonts w:asciiTheme="minorHAnsi" w:hAnsiTheme="minorHAnsi" w:cstheme="minorHAnsi"/>
          <w:b/>
          <w:bCs/>
          <w:lang w:val="en-US"/>
        </w:rPr>
        <w:t>Joint Global Coordinators</w:t>
      </w:r>
      <w:r w:rsidRPr="00D86172">
        <w:rPr>
          <w:rFonts w:asciiTheme="minorHAnsi" w:hAnsiTheme="minorHAnsi" w:cstheme="minorHAnsi"/>
          <w:lang w:val="en-US"/>
        </w:rPr>
        <w:t xml:space="preserve">”) acted as Joint Global Coordinators in connection with the Transaction. </w:t>
      </w:r>
    </w:p>
    <w:p w14:paraId="13DEE972" w14:textId="77777777" w:rsidR="006D5E0D" w:rsidRPr="00D86172" w:rsidRDefault="006D5E0D" w:rsidP="006D5E0D">
      <w:pPr>
        <w:jc w:val="both"/>
        <w:rPr>
          <w:rFonts w:asciiTheme="minorHAnsi" w:hAnsiTheme="minorHAnsi" w:cstheme="minorHAnsi"/>
          <w:lang w:val="en-US"/>
        </w:rPr>
      </w:pPr>
    </w:p>
    <w:p w14:paraId="69AE7BE6" w14:textId="77777777" w:rsidR="006D5E0D" w:rsidRPr="00D86172" w:rsidRDefault="006D5E0D" w:rsidP="006D5E0D">
      <w:pPr>
        <w:jc w:val="both"/>
        <w:rPr>
          <w:rFonts w:asciiTheme="minorHAnsi" w:hAnsiTheme="minorHAnsi" w:cstheme="minorHAnsi"/>
          <w:lang w:val="en-US"/>
        </w:rPr>
      </w:pPr>
      <w:r w:rsidRPr="00D86172">
        <w:rPr>
          <w:rFonts w:asciiTheme="minorHAnsi" w:hAnsiTheme="minorHAnsi" w:cstheme="minorHAnsi"/>
          <w:lang w:val="en-US"/>
        </w:rPr>
        <w:lastRenderedPageBreak/>
        <w:t>Rothschild &amp; Co acted as process advisor for the purposes of Article 3(3), third sub-paragraph of Law 3986/2011, and Freshfields Bruckhaus Deringer LLP and Karatzas &amp; Partners Law Firm acted as external legal counsel to HRADF and to POIH.</w:t>
      </w:r>
    </w:p>
    <w:p w14:paraId="65D41D50" w14:textId="77777777" w:rsidR="006D5E0D" w:rsidRPr="00D86172" w:rsidRDefault="006D5E0D" w:rsidP="006D5E0D">
      <w:pPr>
        <w:spacing w:before="240" w:after="140" w:line="360" w:lineRule="auto"/>
        <w:jc w:val="both"/>
        <w:rPr>
          <w:rFonts w:asciiTheme="minorHAnsi" w:hAnsiTheme="minorHAnsi" w:cstheme="minorHAnsi"/>
          <w:bCs/>
          <w:lang w:val="en-US" w:eastAsia="en-GB"/>
        </w:rPr>
      </w:pPr>
      <w:r w:rsidRPr="00D86172">
        <w:rPr>
          <w:rFonts w:asciiTheme="minorHAnsi" w:hAnsiTheme="minorHAnsi" w:cstheme="minorHAnsi"/>
          <w:b/>
          <w:lang w:val="en-US"/>
        </w:rPr>
        <w:t>Important notice</w:t>
      </w:r>
    </w:p>
    <w:p w14:paraId="15758272" w14:textId="77777777" w:rsidR="006D5E0D" w:rsidRPr="00D86172" w:rsidRDefault="006D5E0D" w:rsidP="006D5E0D">
      <w:pPr>
        <w:spacing w:before="240" w:after="140" w:line="240" w:lineRule="auto"/>
        <w:jc w:val="both"/>
        <w:rPr>
          <w:rFonts w:asciiTheme="minorHAnsi" w:hAnsiTheme="minorHAnsi" w:cstheme="minorHAnsi"/>
          <w:lang w:val="en-US"/>
        </w:rPr>
      </w:pPr>
      <w:r w:rsidRPr="00D86172">
        <w:rPr>
          <w:rFonts w:asciiTheme="minorHAnsi" w:hAnsiTheme="minorHAnsi" w:cstheme="minorHAnsi"/>
          <w:lang w:val="en-US"/>
        </w:rPr>
        <w:t xml:space="preserve">This press release is for information purposes only and is not intended to constitute, and should not be construed as, an offer to sell or a solicitation of any offer to buy any ordinary shares in the share capital of </w:t>
      </w:r>
      <w:proofErr w:type="spellStart"/>
      <w:r w:rsidRPr="00D86172">
        <w:rPr>
          <w:rFonts w:asciiTheme="minorHAnsi" w:hAnsiTheme="minorHAnsi" w:cstheme="minorHAnsi"/>
          <w:lang w:val="en-US"/>
        </w:rPr>
        <w:t>HELLENiQ</w:t>
      </w:r>
      <w:proofErr w:type="spellEnd"/>
      <w:r w:rsidRPr="00D86172">
        <w:rPr>
          <w:rFonts w:asciiTheme="minorHAnsi" w:hAnsiTheme="minorHAnsi" w:cstheme="minorHAnsi"/>
          <w:lang w:val="en-US"/>
        </w:rPr>
        <w:t xml:space="preserve"> Energy Holdings S.A. in the United States or in any other jurisdiction in which such offer, solicitation or sale would be unlawful under the securities laws of such jurisdiction. Persons into whose possession this communication comes should inform themselves about and observe any such restrictions. Any failure to comply with these restrictions may constitute a violation of the securities laws of any such jurisdiction.</w:t>
      </w:r>
    </w:p>
    <w:p w14:paraId="581A16F8" w14:textId="77777777" w:rsidR="006D5E0D" w:rsidRPr="00D86172" w:rsidRDefault="006D5E0D" w:rsidP="006D5E0D">
      <w:pPr>
        <w:spacing w:before="240" w:after="140" w:line="240" w:lineRule="auto"/>
        <w:jc w:val="both"/>
        <w:rPr>
          <w:rFonts w:asciiTheme="minorHAnsi" w:hAnsiTheme="minorHAnsi" w:cstheme="minorHAnsi"/>
          <w:lang w:val="en-US"/>
        </w:rPr>
      </w:pPr>
      <w:r w:rsidRPr="00D86172">
        <w:rPr>
          <w:rFonts w:asciiTheme="minorHAnsi" w:hAnsiTheme="minorHAnsi" w:cstheme="minorHAnsi"/>
          <w:lang w:val="en-US"/>
        </w:rPr>
        <w:t xml:space="preserve">This announcement is not an offer of securities for sale in or into the United States. The Shares have not been and will not be registered under the U.S. Securities Act of 1933, as amended (the "US Securities Act") or under the laws of any state of the United States and may not be offered or sold directly or indirectly in or into the United States except pursuant to an exemption from, or in a transaction not subject to, the registration requirements under the US Securities Act and in compliance with the securities laws of any state or any other jurisdiction of the United States. </w:t>
      </w:r>
      <w:r w:rsidRPr="006D5E0D">
        <w:rPr>
          <w:rFonts w:asciiTheme="minorHAnsi" w:hAnsiTheme="minorHAnsi" w:cstheme="minorHAnsi"/>
          <w:lang w:val="en-US" w:eastAsia="en-GB"/>
        </w:rPr>
        <w:t xml:space="preserve">The Shares are being offered and sold by the Selling Shareholders (a) outside the United States in offshore transactions as defined in, and pursuant to, Regulation S under the US Securities Act ("Regulation S"), or (b) in the United States only to persons reasonably believed to be “qualified institutional buyers” (as defined in Rule 144A of the US Securities Act) (“QIBs”) in transactions  pursuant to an exemption from, or in a transaction not subject to, the registration requirements of the US Securities Act. A potential investor of the Shares is, and at the time the Shares are subscribed for will be, (i) outside the United States and subscribing for the Shares in an “offshore transaction” as defined in, and in accordance with, Regulation S, or (ii) (a) a QIB and (b) subscribing for the Shares pursuant to an exemption from, or in a transaction not subject to, the registration requirements under the US Securities Act. </w:t>
      </w:r>
      <w:r w:rsidRPr="00D86172">
        <w:rPr>
          <w:rFonts w:asciiTheme="minorHAnsi" w:hAnsiTheme="minorHAnsi" w:cstheme="minorHAnsi"/>
          <w:lang w:val="en-US"/>
        </w:rPr>
        <w:t>There will be no public offering of the Shares in or into the United States.</w:t>
      </w:r>
    </w:p>
    <w:p w14:paraId="7BF013D6" w14:textId="77777777" w:rsidR="006D5E0D" w:rsidRPr="00D86172" w:rsidRDefault="006D5E0D" w:rsidP="006D5E0D">
      <w:pPr>
        <w:spacing w:before="240" w:after="140" w:line="240" w:lineRule="auto"/>
        <w:jc w:val="both"/>
        <w:rPr>
          <w:rFonts w:asciiTheme="minorHAnsi" w:hAnsiTheme="minorHAnsi" w:cstheme="minorHAnsi"/>
          <w:lang w:val="en-US"/>
        </w:rPr>
      </w:pPr>
      <w:r w:rsidRPr="00D86172">
        <w:rPr>
          <w:rFonts w:asciiTheme="minorHAnsi" w:hAnsiTheme="minorHAnsi" w:cstheme="minorHAnsi"/>
          <w:lang w:val="en-US"/>
        </w:rPr>
        <w:t>With respect to any Member State of the European Economic Area (each a "Relevant Member State"), no action has been undertaken or will be undertaken to make an offer to the public of any Shares requiring publication of a prospectus in any Relevant Member State. As a result, in Relevant Member States this announcement and any offer of Shares is directed exclusively at, and may only be made to, "qualified investors" as defined under Article 2(e) of the Prospectus Regulation</w:t>
      </w:r>
      <w:bookmarkStart w:id="0" w:name="_Hlk152494828"/>
      <w:r w:rsidRPr="00D86172">
        <w:rPr>
          <w:rFonts w:asciiTheme="minorHAnsi" w:hAnsiTheme="minorHAnsi" w:cstheme="minorHAnsi"/>
          <w:lang w:val="en-US"/>
        </w:rPr>
        <w:t>, and in circumstances falling within Article 1(4) of the Prospectus Regulation</w:t>
      </w:r>
      <w:bookmarkEnd w:id="0"/>
      <w:r w:rsidRPr="00D86172">
        <w:rPr>
          <w:rFonts w:asciiTheme="minorHAnsi" w:hAnsiTheme="minorHAnsi" w:cstheme="minorHAnsi"/>
          <w:lang w:val="en-US"/>
        </w:rPr>
        <w:t xml:space="preserve">. </w:t>
      </w:r>
      <w:bookmarkStart w:id="1" w:name="_Hlk152494842"/>
      <w:r w:rsidRPr="00D86172">
        <w:rPr>
          <w:rFonts w:asciiTheme="minorHAnsi" w:hAnsiTheme="minorHAnsi" w:cstheme="minorHAnsi"/>
          <w:lang w:val="en-US"/>
        </w:rPr>
        <w:t xml:space="preserve">For the purposes of this provision, the expression an “offer to the public” in relation to any Shares in any Relevant Member State means the communication in any form and by any means of sufficient information on the terms of the sale and the Shares to be offered so as to enable an investor to decide to purchase any Shares, and the expression "Prospectus Regulation" means Regulation (EU) 2017/1129. </w:t>
      </w:r>
      <w:bookmarkEnd w:id="1"/>
    </w:p>
    <w:p w14:paraId="44360096" w14:textId="77777777" w:rsidR="006D5E0D" w:rsidRPr="00D86172" w:rsidRDefault="006D5E0D" w:rsidP="006D5E0D">
      <w:pPr>
        <w:spacing w:before="240" w:after="140" w:line="240" w:lineRule="auto"/>
        <w:jc w:val="both"/>
        <w:rPr>
          <w:rFonts w:asciiTheme="minorHAnsi" w:hAnsiTheme="minorHAnsi" w:cstheme="minorHAnsi"/>
          <w:lang w:val="en-US"/>
        </w:rPr>
      </w:pPr>
      <w:r w:rsidRPr="00D86172">
        <w:rPr>
          <w:rFonts w:asciiTheme="minorHAnsi" w:hAnsiTheme="minorHAnsi" w:cstheme="minorHAnsi"/>
          <w:lang w:val="en-US"/>
        </w:rPr>
        <w:t xml:space="preserve">With respect to the UK, no action has been undertaken or will be undertaken to make an offer to the public of any Shares requiring publication of a prospectus in the UK. As a result in the UK, this announcement and any offer of Shares is directed exclusively at, and may only be made, and any investment or investment activity to which this announcement relates is available only to, and will be engaged in only with, "qualified investors" as defined under Article 2(e) of the </w:t>
      </w:r>
      <w:r w:rsidRPr="00D86172">
        <w:rPr>
          <w:rFonts w:asciiTheme="minorHAnsi" w:hAnsiTheme="minorHAnsi" w:cstheme="minorHAnsi"/>
          <w:lang w:val="en-US"/>
        </w:rPr>
        <w:lastRenderedPageBreak/>
        <w:t xml:space="preserve">UK Prospectus Regulation who are also (i) investment professionals falling with Article 19(5) of the UK Financial Services and Markets Act 2000 (Financial Promotion) Order 2005 (as amended) (the “Order”); (ii) high net worth entities falling within Article 49(2)(a) to (d) of the Order, or (iii) other persons to whom an offer of the Shares may otherwise be lawfully communicated (all such persons together being referred to as “relevant persons”). Persons who are not relevant persons should not take any action on the basis of this announcement and should not act or rely on it. For the purposes of this paragraph, the expression an “offer to the public” in relation to any Shares in the UK means the communication in any form and by any means of sufficient information on the terms of the sale and the Shares to be offered so as to enable an investor to decide to purchase any Shares, the expression "UK Prospectus Regulation" means Regulation (EU) 2017/1129, as it forms part of domestic UK law by virtue of the European Union (Withdrawal) Act 2018. </w:t>
      </w:r>
      <w:r w:rsidRPr="006D5E0D">
        <w:rPr>
          <w:rFonts w:asciiTheme="minorHAnsi" w:hAnsiTheme="minorHAnsi" w:cstheme="minorHAnsi"/>
          <w:lang w:val="en-US"/>
        </w:rPr>
        <w:t>This communication is being distributed to, and is directed only at, persons in the UK in circumstances where section 21(1) of FSMA does not apply.</w:t>
      </w:r>
    </w:p>
    <w:p w14:paraId="66C16078" w14:textId="77777777" w:rsidR="006D5E0D" w:rsidRPr="00D86172" w:rsidRDefault="006D5E0D" w:rsidP="006D5E0D">
      <w:pPr>
        <w:spacing w:before="240" w:after="140" w:line="240" w:lineRule="auto"/>
        <w:jc w:val="both"/>
        <w:rPr>
          <w:rFonts w:asciiTheme="minorHAnsi" w:hAnsiTheme="minorHAnsi" w:cstheme="minorHAnsi"/>
          <w:lang w:val="en-US"/>
        </w:rPr>
      </w:pPr>
      <w:r w:rsidRPr="00D86172">
        <w:rPr>
          <w:rFonts w:asciiTheme="minorHAnsi" w:hAnsiTheme="minorHAnsi" w:cstheme="minorHAnsi"/>
          <w:lang w:val="en-US"/>
        </w:rPr>
        <w:t>Any such investor will also be deemed to have represented and agreed that any Shares acquired by it in the contemplated offering of Shares have not been acquired on behalf of persons other than such investor. This announcement is not an advertisement within the meaning of the Prospectus Regulation or the UK Prospectus Regulation and does not constitute a prospectus.</w:t>
      </w:r>
    </w:p>
    <w:p w14:paraId="239EBD9A" w14:textId="77777777" w:rsidR="006D5E0D" w:rsidRPr="00D86172" w:rsidRDefault="006D5E0D" w:rsidP="006D5E0D">
      <w:pPr>
        <w:spacing w:before="240" w:after="140" w:line="240" w:lineRule="auto"/>
        <w:jc w:val="both"/>
        <w:rPr>
          <w:rFonts w:asciiTheme="minorHAnsi" w:hAnsiTheme="minorHAnsi" w:cstheme="minorHAnsi"/>
          <w:lang w:val="en-US"/>
        </w:rPr>
      </w:pPr>
      <w:r w:rsidRPr="00D86172">
        <w:rPr>
          <w:rFonts w:asciiTheme="minorHAnsi" w:hAnsiTheme="minorHAnsi" w:cstheme="minorHAnsi"/>
          <w:lang w:val="en-US"/>
        </w:rPr>
        <w:t xml:space="preserve">No action has been taken by the Selling Shareholders or the </w:t>
      </w:r>
      <w:r w:rsidRPr="006D5E0D">
        <w:rPr>
          <w:rFonts w:asciiTheme="minorHAnsi" w:hAnsiTheme="minorHAnsi" w:cstheme="minorHAnsi"/>
          <w:lang w:val="en-US"/>
        </w:rPr>
        <w:t>Joint Global Coordinators</w:t>
      </w:r>
      <w:r w:rsidRPr="00D86172">
        <w:rPr>
          <w:rFonts w:asciiTheme="minorHAnsi" w:hAnsiTheme="minorHAnsi" w:cstheme="minorHAnsi"/>
          <w:lang w:val="en-US"/>
        </w:rPr>
        <w:t xml:space="preserve"> that would permit an offer of Shares or the possession or distribution of this announcement or any other offering or publicity material relating to such Shares in any jurisdiction where action for that purpose is required. Any investment decision in connection with the Transaction must be made on the basis of all publicly available information relating to </w:t>
      </w:r>
      <w:proofErr w:type="spellStart"/>
      <w:r w:rsidRPr="00D86172">
        <w:rPr>
          <w:rFonts w:asciiTheme="minorHAnsi" w:hAnsiTheme="minorHAnsi" w:cstheme="minorHAnsi"/>
          <w:lang w:val="en-US"/>
        </w:rPr>
        <w:t>HELLENiQ</w:t>
      </w:r>
      <w:proofErr w:type="spellEnd"/>
      <w:r w:rsidRPr="00D86172">
        <w:rPr>
          <w:rFonts w:asciiTheme="minorHAnsi" w:hAnsiTheme="minorHAnsi" w:cstheme="minorHAnsi"/>
          <w:lang w:val="en-US"/>
        </w:rPr>
        <w:t xml:space="preserve"> and the Shares. Such information has not been independently verified. The information contained in this announcement is for background purposes only and does not purport to be full or complete. No reliance may be placed for any purpose on the information contained in this announcement or its accuracy or completeness.</w:t>
      </w:r>
    </w:p>
    <w:p w14:paraId="1BDC86E7" w14:textId="77777777" w:rsidR="006D5E0D" w:rsidRPr="00D86172" w:rsidRDefault="006D5E0D" w:rsidP="006D5E0D">
      <w:pPr>
        <w:spacing w:before="240" w:after="140" w:line="240" w:lineRule="auto"/>
        <w:jc w:val="both"/>
        <w:rPr>
          <w:rFonts w:asciiTheme="minorHAnsi" w:hAnsiTheme="minorHAnsi" w:cstheme="minorHAnsi"/>
          <w:lang w:val="en-US"/>
        </w:rPr>
      </w:pPr>
      <w:r w:rsidRPr="00D86172">
        <w:rPr>
          <w:rFonts w:asciiTheme="minorHAnsi" w:hAnsiTheme="minorHAnsi" w:cstheme="minorHAnsi"/>
          <w:lang w:val="en-US"/>
        </w:rPr>
        <w:t xml:space="preserve">The release, </w:t>
      </w:r>
      <w:proofErr w:type="gramStart"/>
      <w:r w:rsidRPr="00D86172">
        <w:rPr>
          <w:rFonts w:asciiTheme="minorHAnsi" w:hAnsiTheme="minorHAnsi" w:cstheme="minorHAnsi"/>
          <w:lang w:val="en-US"/>
        </w:rPr>
        <w:t>publication</w:t>
      </w:r>
      <w:proofErr w:type="gramEnd"/>
      <w:r w:rsidRPr="00D86172">
        <w:rPr>
          <w:rFonts w:asciiTheme="minorHAnsi" w:hAnsiTheme="minorHAnsi" w:cstheme="minorHAnsi"/>
          <w:lang w:val="en-US"/>
        </w:rPr>
        <w:t xml:space="preserve"> or distribution of this announcement in certain jurisdictions may be restricted by law and therefore persons in such jurisdictions into which they are released, published or distributed, should inform themselves about, and observe, such restrictions. </w:t>
      </w:r>
    </w:p>
    <w:p w14:paraId="76300A1B" w14:textId="77777777" w:rsidR="006D5E0D" w:rsidRPr="00D86172" w:rsidRDefault="006D5E0D" w:rsidP="006D5E0D">
      <w:pPr>
        <w:spacing w:before="240" w:after="140" w:line="240" w:lineRule="auto"/>
        <w:jc w:val="both"/>
        <w:rPr>
          <w:rFonts w:asciiTheme="minorHAnsi" w:hAnsiTheme="minorHAnsi" w:cstheme="minorHAnsi"/>
          <w:lang w:val="en-US"/>
        </w:rPr>
      </w:pPr>
      <w:r w:rsidRPr="00D86172">
        <w:rPr>
          <w:rFonts w:asciiTheme="minorHAnsi" w:hAnsiTheme="minorHAnsi" w:cstheme="minorHAnsi"/>
          <w:lang w:val="en-US"/>
        </w:rPr>
        <w:t xml:space="preserve">This announcement may include statements that are, or may be deemed to </w:t>
      </w:r>
      <w:proofErr w:type="gramStart"/>
      <w:r w:rsidRPr="00D86172">
        <w:rPr>
          <w:rFonts w:asciiTheme="minorHAnsi" w:hAnsiTheme="minorHAnsi" w:cstheme="minorHAnsi"/>
          <w:lang w:val="en-US"/>
        </w:rPr>
        <w:t>be, '</w:t>
      </w:r>
      <w:proofErr w:type="gramEnd"/>
      <w:r w:rsidRPr="00D86172">
        <w:rPr>
          <w:rFonts w:asciiTheme="minorHAnsi" w:hAnsiTheme="minorHAnsi" w:cstheme="minorHAnsi"/>
          <w:lang w:val="en-US"/>
        </w:rPr>
        <w:t xml:space="preserve">'forward-looking statements''. These forward-looking statements may be identified by the use of forward-looking terminology, including the terms ''believes'', ''estimates'', ''plans'', "targets", ''projects'', ''anticipates'', ''expects'', ''intends'', ''may'', ''will'' or ''should'' or, in each case, their negative or other variations or comparable terminology, or by discussions of strategy, plans, objectives, goals, future events or intentions. Forward-looking statements may and often do differ materially from actual results. Any forward-looking statements reflect the current view with respect to future events and are subject to risks relating to future events and other risks, uncertainties and assumptions relating to </w:t>
      </w:r>
      <w:proofErr w:type="spellStart"/>
      <w:r w:rsidRPr="00D86172">
        <w:rPr>
          <w:rFonts w:asciiTheme="minorHAnsi" w:hAnsiTheme="minorHAnsi" w:cstheme="minorHAnsi"/>
          <w:lang w:val="en-US"/>
        </w:rPr>
        <w:t>HELLENiQ’s</w:t>
      </w:r>
      <w:proofErr w:type="spellEnd"/>
      <w:r w:rsidRPr="00D86172">
        <w:rPr>
          <w:rFonts w:asciiTheme="minorHAnsi" w:hAnsiTheme="minorHAnsi" w:cstheme="minorHAnsi"/>
          <w:lang w:val="en-US"/>
        </w:rPr>
        <w:t xml:space="preserve"> business, results of operations, financial position, liquidity, prospects, </w:t>
      </w:r>
      <w:proofErr w:type="gramStart"/>
      <w:r w:rsidRPr="00D86172">
        <w:rPr>
          <w:rFonts w:asciiTheme="minorHAnsi" w:hAnsiTheme="minorHAnsi" w:cstheme="minorHAnsi"/>
          <w:lang w:val="en-US"/>
        </w:rPr>
        <w:t>growth</w:t>
      </w:r>
      <w:proofErr w:type="gramEnd"/>
      <w:r w:rsidRPr="00D86172">
        <w:rPr>
          <w:rFonts w:asciiTheme="minorHAnsi" w:hAnsiTheme="minorHAnsi" w:cstheme="minorHAnsi"/>
          <w:lang w:val="en-US"/>
        </w:rPr>
        <w:t xml:space="preserve"> or strategies. Forward- looking statements speak only as of the date they are made. Each of the Joint Global Coordinators and their respective affiliates expressly disclaim any obligation or undertaking to update, review or revise any forward-looking statement contained in this announcement whether as a result of new information, future developments or otherwise.</w:t>
      </w:r>
    </w:p>
    <w:p w14:paraId="2C00A4DF" w14:textId="77777777" w:rsidR="006D5E0D" w:rsidRPr="00D86172" w:rsidRDefault="006D5E0D" w:rsidP="006D5E0D">
      <w:pPr>
        <w:spacing w:before="240" w:after="140" w:line="240" w:lineRule="auto"/>
        <w:jc w:val="both"/>
        <w:rPr>
          <w:rFonts w:asciiTheme="minorHAnsi" w:hAnsiTheme="minorHAnsi" w:cstheme="minorHAnsi"/>
          <w:lang w:val="en-US"/>
        </w:rPr>
      </w:pPr>
      <w:r w:rsidRPr="00D86172">
        <w:rPr>
          <w:rFonts w:asciiTheme="minorHAnsi" w:hAnsiTheme="minorHAnsi" w:cstheme="minorHAnsi"/>
          <w:lang w:val="en-US"/>
        </w:rPr>
        <w:lastRenderedPageBreak/>
        <w:t>The price and value of securities may go up as well as down. Persons needing advice should contact a professional adviser. Information in this announcement or any of the documents relating to the Transaction cannot be relied upon as a guide to future performance.</w:t>
      </w:r>
    </w:p>
    <w:p w14:paraId="2FC1CA9E" w14:textId="77777777" w:rsidR="006D5E0D" w:rsidRPr="00D86172" w:rsidRDefault="006D5E0D" w:rsidP="006D5E0D">
      <w:pPr>
        <w:spacing w:before="240" w:after="140" w:line="240" w:lineRule="auto"/>
        <w:jc w:val="both"/>
        <w:rPr>
          <w:rFonts w:asciiTheme="minorHAnsi" w:hAnsiTheme="minorHAnsi" w:cstheme="minorHAnsi"/>
          <w:lang w:val="en-US"/>
        </w:rPr>
      </w:pPr>
      <w:r w:rsidRPr="00D86172">
        <w:rPr>
          <w:rFonts w:asciiTheme="minorHAnsi" w:hAnsiTheme="minorHAnsi" w:cstheme="minorHAnsi"/>
          <w:lang w:val="en-US"/>
        </w:rPr>
        <w:t xml:space="preserve">The Joint Global Coordinators are acting exclusively for the Selling Shareholders and no one else in connection with any offering of Shares. They will not regard any other person as their respective clients in relation to any offering of Shares and will not be responsible to anyone other than the Selling Shareholders for providing the protections afforded to their respective clients nor for providing advice in relation to any offering of Shares, the contents of this announcement or any transaction, arrangement or other matter referred to herein. Neither of the Joint Global Coordinators nor any of their respective subsidiary undertakings, affiliates or any of their respective directors, officers, employees, advisers, agents, alliance partners or any other entity or person accepts any responsibility or liability whatsoever for, or makes any representation, warranty or undertaking, express or implied, as to the truth, accuracy, completeness or fairness of the information or opinions in this announcement (or whether any information has been omitted from this announcement) or any other information relating to the group, its subsidiaries or associated companies, whether written, oral or in a visual or electronic form, and howsoever transmitted or made available or for any loss howsoever arising from any use of this announcement or its contents or otherwise arising in connection therewith. Accordingly, the Joint Global Coordinators disclaim, to the fullest extent permitted by applicable law, </w:t>
      </w:r>
      <w:proofErr w:type="gramStart"/>
      <w:r w:rsidRPr="00D86172">
        <w:rPr>
          <w:rFonts w:asciiTheme="minorHAnsi" w:hAnsiTheme="minorHAnsi" w:cstheme="minorHAnsi"/>
          <w:lang w:val="en-US"/>
        </w:rPr>
        <w:t>all</w:t>
      </w:r>
      <w:proofErr w:type="gramEnd"/>
      <w:r w:rsidRPr="00D86172">
        <w:rPr>
          <w:rFonts w:asciiTheme="minorHAnsi" w:hAnsiTheme="minorHAnsi" w:cstheme="minorHAnsi"/>
          <w:lang w:val="en-US"/>
        </w:rPr>
        <w:t xml:space="preserve"> and any liability, whether arising in tort or contract or that they might otherwise be found to have in respect of this announcement and/or any such statement.</w:t>
      </w:r>
    </w:p>
    <w:p w14:paraId="3886CD71" w14:textId="77777777" w:rsidR="006D5E0D" w:rsidRPr="00D86172" w:rsidRDefault="006D5E0D" w:rsidP="006D5E0D">
      <w:pPr>
        <w:spacing w:before="240" w:after="140" w:line="240" w:lineRule="auto"/>
        <w:jc w:val="both"/>
        <w:rPr>
          <w:rFonts w:asciiTheme="minorHAnsi" w:hAnsiTheme="minorHAnsi" w:cstheme="minorHAnsi"/>
          <w:lang w:val="en-US"/>
        </w:rPr>
      </w:pPr>
      <w:r w:rsidRPr="00D86172">
        <w:rPr>
          <w:rFonts w:asciiTheme="minorHAnsi" w:hAnsiTheme="minorHAnsi" w:cstheme="minorHAnsi"/>
          <w:lang w:val="en-US"/>
        </w:rPr>
        <w:t xml:space="preserve">In connection with the Transaction, the Joint Global Coordinators and any of their affiliates, may take up a portion of the Shares in the Transaction as a principal position and, in that capacity, may retain, purchase, sell, offer to sell for its own account such Shares and other securities of </w:t>
      </w:r>
      <w:proofErr w:type="spellStart"/>
      <w:r w:rsidRPr="00D86172">
        <w:rPr>
          <w:rFonts w:asciiTheme="minorHAnsi" w:hAnsiTheme="minorHAnsi" w:cstheme="minorHAnsi"/>
          <w:lang w:val="en-US"/>
        </w:rPr>
        <w:t>HELLENiQ</w:t>
      </w:r>
      <w:proofErr w:type="spellEnd"/>
      <w:r w:rsidRPr="00D86172">
        <w:rPr>
          <w:rFonts w:asciiTheme="minorHAnsi" w:hAnsiTheme="minorHAnsi" w:cstheme="minorHAnsi"/>
          <w:lang w:val="en-US"/>
        </w:rPr>
        <w:t xml:space="preserve"> or related investments in connection with the Transaction or otherwise. In addition, the Joint Global Coordinators and any of their affiliates may enter into financing arrangements (including swaps or contracts for differences) with investors in connection with which the Joint Global Coordinators and any of their affiliates may from time to time acquire, </w:t>
      </w:r>
      <w:proofErr w:type="gramStart"/>
      <w:r w:rsidRPr="00D86172">
        <w:rPr>
          <w:rFonts w:asciiTheme="minorHAnsi" w:hAnsiTheme="minorHAnsi" w:cstheme="minorHAnsi"/>
          <w:lang w:val="en-US"/>
        </w:rPr>
        <w:t>hold</w:t>
      </w:r>
      <w:proofErr w:type="gramEnd"/>
      <w:r w:rsidRPr="00D86172">
        <w:rPr>
          <w:rFonts w:asciiTheme="minorHAnsi" w:hAnsiTheme="minorHAnsi" w:cstheme="minorHAnsi"/>
          <w:lang w:val="en-US"/>
        </w:rPr>
        <w:t xml:space="preserve"> or dispose of Shares. The Joint Global Coordinators or their affiliates intend to disclose the extent of any such investment or transactions otherwise than in accordance with any legal or regulatory obligations to do so.</w:t>
      </w:r>
    </w:p>
    <w:p w14:paraId="26842AD0" w14:textId="77777777" w:rsidR="006D5E0D" w:rsidRDefault="006D5E0D" w:rsidP="006D5E0D">
      <w:pPr>
        <w:tabs>
          <w:tab w:val="left" w:pos="1308"/>
        </w:tabs>
        <w:rPr>
          <w:rFonts w:asciiTheme="minorHAnsi" w:hAnsiTheme="minorHAnsi" w:cstheme="minorHAnsi"/>
          <w:lang w:val="en-US"/>
        </w:rPr>
      </w:pPr>
    </w:p>
    <w:p w14:paraId="376B4155" w14:textId="77777777" w:rsidR="006D5E0D" w:rsidRDefault="006D5E0D" w:rsidP="006D5E0D">
      <w:pPr>
        <w:tabs>
          <w:tab w:val="left" w:pos="1308"/>
        </w:tabs>
        <w:rPr>
          <w:rFonts w:asciiTheme="minorHAnsi" w:hAnsiTheme="minorHAnsi" w:cstheme="minorHAnsi"/>
          <w:lang w:val="en-US"/>
        </w:rPr>
      </w:pPr>
    </w:p>
    <w:p w14:paraId="28B63691" w14:textId="77777777" w:rsidR="006D5E0D" w:rsidRDefault="006D5E0D" w:rsidP="006D5E0D">
      <w:pPr>
        <w:tabs>
          <w:tab w:val="left" w:pos="1308"/>
        </w:tabs>
        <w:rPr>
          <w:rFonts w:asciiTheme="minorHAnsi" w:hAnsiTheme="minorHAnsi" w:cstheme="minorHAnsi"/>
          <w:lang w:val="en-US"/>
        </w:rPr>
      </w:pPr>
    </w:p>
    <w:p w14:paraId="71582699" w14:textId="77777777" w:rsidR="006D5E0D" w:rsidRDefault="006D5E0D" w:rsidP="006D5E0D">
      <w:pPr>
        <w:tabs>
          <w:tab w:val="left" w:pos="1308"/>
        </w:tabs>
        <w:rPr>
          <w:rFonts w:asciiTheme="minorHAnsi" w:hAnsiTheme="minorHAnsi" w:cstheme="minorHAnsi"/>
          <w:lang w:val="en-US"/>
        </w:rPr>
      </w:pPr>
    </w:p>
    <w:p w14:paraId="5DCDB830" w14:textId="77777777" w:rsidR="006D5E0D" w:rsidRPr="00D86172" w:rsidRDefault="006D5E0D" w:rsidP="006D5E0D">
      <w:pPr>
        <w:spacing w:after="160" w:line="259" w:lineRule="auto"/>
        <w:jc w:val="both"/>
        <w:rPr>
          <w:rFonts w:asciiTheme="minorHAnsi" w:hAnsiTheme="minorHAnsi" w:cstheme="minorBidi"/>
          <w:bCs/>
          <w:kern w:val="2"/>
          <w:sz w:val="20"/>
          <w:lang w:val="en-GB" w:bidi="he-IL"/>
          <w14:ligatures w14:val="standardContextual"/>
        </w:rPr>
      </w:pPr>
      <w:r w:rsidRPr="00D86172">
        <w:rPr>
          <w:rFonts w:asciiTheme="minorHAnsi" w:eastAsiaTheme="minorHAnsi" w:hAnsiTheme="minorHAnsi" w:cstheme="minorBidi"/>
          <w:kern w:val="2"/>
          <w:sz w:val="20"/>
          <w:lang w:val="en-US" w:bidi="he-IL"/>
          <w14:ligatures w14:val="standardContextual"/>
        </w:rPr>
        <w:t xml:space="preserve">Please refer to the Fund's </w:t>
      </w:r>
      <w:hyperlink r:id="rId11" w:history="1">
        <w:r w:rsidRPr="00D86172">
          <w:rPr>
            <w:rFonts w:asciiTheme="minorHAnsi" w:eastAsiaTheme="minorHAnsi" w:hAnsiTheme="minorHAnsi" w:cstheme="minorBidi"/>
            <w:color w:val="0000FF"/>
            <w:kern w:val="2"/>
            <w:sz w:val="20"/>
            <w:u w:val="single"/>
            <w:lang w:val="en-US" w:bidi="he-IL"/>
            <w14:ligatures w14:val="standardContextual"/>
          </w:rPr>
          <w:t>website</w:t>
        </w:r>
      </w:hyperlink>
      <w:r w:rsidRPr="00D86172">
        <w:rPr>
          <w:rFonts w:asciiTheme="minorHAnsi" w:eastAsiaTheme="minorHAnsi" w:hAnsiTheme="minorHAnsi" w:cstheme="minorBidi"/>
          <w:kern w:val="2"/>
          <w:sz w:val="20"/>
          <w:lang w:val="en-US" w:bidi="he-IL"/>
          <w14:ligatures w14:val="standardContextual"/>
        </w:rPr>
        <w:t xml:space="preserve"> for more information and updates regarding the Hellenic Republic Asset Development Fund (HRADF</w:t>
      </w:r>
      <w:r w:rsidRPr="00D86172">
        <w:rPr>
          <w:rFonts w:asciiTheme="minorHAnsi" w:eastAsiaTheme="minorHAnsi" w:hAnsiTheme="minorHAnsi" w:cstheme="minorBidi"/>
          <w:kern w:val="2"/>
          <w:sz w:val="20"/>
          <w:lang w:val="en-GB" w:bidi="he-IL"/>
          <w14:ligatures w14:val="standardContextual"/>
        </w:rPr>
        <w:t>).</w:t>
      </w:r>
    </w:p>
    <w:p w14:paraId="381FE5FA" w14:textId="77777777" w:rsidR="006D5E0D" w:rsidRPr="00D86172" w:rsidRDefault="006D5E0D" w:rsidP="006D5E0D">
      <w:pPr>
        <w:spacing w:after="160" w:line="259" w:lineRule="auto"/>
        <w:jc w:val="both"/>
        <w:rPr>
          <w:rFonts w:asciiTheme="minorHAnsi" w:eastAsiaTheme="minorHAnsi" w:hAnsiTheme="minorHAnsi" w:cstheme="minorBidi"/>
          <w:kern w:val="2"/>
          <w:sz w:val="20"/>
          <w:u w:val="single"/>
          <w:lang w:val="en-US" w:bidi="he-IL"/>
          <w14:ligatures w14:val="standardContextual"/>
        </w:rPr>
      </w:pPr>
      <w:r w:rsidRPr="00D86172">
        <w:rPr>
          <w:rFonts w:asciiTheme="minorHAnsi" w:eastAsiaTheme="minorHAnsi" w:hAnsiTheme="minorHAnsi" w:cstheme="minorBidi"/>
          <w:b/>
          <w:kern w:val="2"/>
          <w:sz w:val="20"/>
          <w:lang w:val="en-US" w:bidi="he-IL"/>
          <w14:ligatures w14:val="standardContextual"/>
        </w:rPr>
        <w:t>Information for the Press:</w:t>
      </w:r>
      <w:r w:rsidRPr="00D86172">
        <w:rPr>
          <w:rFonts w:asciiTheme="minorHAnsi" w:eastAsiaTheme="minorHAnsi" w:hAnsiTheme="minorHAnsi" w:cstheme="minorBidi"/>
          <w:kern w:val="2"/>
          <w:sz w:val="20"/>
          <w:lang w:val="en-US" w:bidi="he-IL"/>
          <w14:ligatures w14:val="standardContextual"/>
        </w:rPr>
        <w:t xml:space="preserve"> </w:t>
      </w:r>
      <w:proofErr w:type="spellStart"/>
      <w:r w:rsidRPr="00D86172">
        <w:rPr>
          <w:rFonts w:asciiTheme="minorHAnsi" w:eastAsiaTheme="minorHAnsi" w:hAnsiTheme="minorHAnsi" w:cs="Segoe UI"/>
          <w:color w:val="000000" w:themeColor="text1"/>
          <w:kern w:val="2"/>
          <w:sz w:val="20"/>
          <w:lang w:val="en-US" w:bidi="he-IL"/>
          <w14:ligatures w14:val="standardContextual"/>
        </w:rPr>
        <w:t>Αchilleas</w:t>
      </w:r>
      <w:proofErr w:type="spellEnd"/>
      <w:r w:rsidRPr="00D86172">
        <w:rPr>
          <w:rFonts w:asciiTheme="minorHAnsi" w:eastAsiaTheme="minorHAnsi" w:hAnsiTheme="minorHAnsi" w:cs="Segoe UI"/>
          <w:color w:val="000000" w:themeColor="text1"/>
          <w:kern w:val="2"/>
          <w:sz w:val="20"/>
          <w:lang w:val="en-US" w:bidi="he-IL"/>
          <w14:ligatures w14:val="standardContextual"/>
        </w:rPr>
        <w:t xml:space="preserve"> Topas</w:t>
      </w:r>
      <w:r w:rsidRPr="00D86172">
        <w:rPr>
          <w:rFonts w:asciiTheme="minorHAnsi" w:eastAsiaTheme="minorHAnsi" w:hAnsiTheme="minorHAnsi" w:cstheme="minorBidi"/>
          <w:kern w:val="2"/>
          <w:sz w:val="20"/>
          <w:lang w:val="en-US" w:bidi="he-IL"/>
          <w14:ligatures w14:val="standardContextual"/>
        </w:rPr>
        <w:t xml:space="preserve">, </w:t>
      </w:r>
      <w:proofErr w:type="spellStart"/>
      <w:r w:rsidRPr="00D86172">
        <w:rPr>
          <w:rFonts w:asciiTheme="minorHAnsi" w:eastAsiaTheme="minorHAnsi" w:hAnsiTheme="minorHAnsi" w:cstheme="minorBidi"/>
          <w:kern w:val="2"/>
          <w:sz w:val="20"/>
          <w:lang w:val="en-US" w:bidi="he-IL"/>
          <w14:ligatures w14:val="standardContextual"/>
        </w:rPr>
        <w:t>Τel</w:t>
      </w:r>
      <w:proofErr w:type="spellEnd"/>
      <w:r w:rsidRPr="00D86172">
        <w:rPr>
          <w:rFonts w:asciiTheme="minorHAnsi" w:eastAsiaTheme="minorHAnsi" w:hAnsiTheme="minorHAnsi" w:cstheme="minorBidi"/>
          <w:kern w:val="2"/>
          <w:sz w:val="20"/>
          <w:lang w:val="en-US" w:bidi="he-IL"/>
          <w14:ligatures w14:val="standardContextual"/>
        </w:rPr>
        <w:t xml:space="preserve"> </w:t>
      </w:r>
      <w:r w:rsidRPr="00D86172">
        <w:rPr>
          <w:rFonts w:asciiTheme="minorHAnsi" w:eastAsiaTheme="minorHAnsi" w:hAnsiTheme="minorHAnsi" w:cs="Segoe UI"/>
          <w:color w:val="000000" w:themeColor="text1"/>
          <w:kern w:val="2"/>
          <w:sz w:val="20"/>
          <w:lang w:val="en-US" w:bidi="he-IL"/>
          <w14:ligatures w14:val="standardContextual"/>
        </w:rPr>
        <w:t>+30 6944902085</w:t>
      </w:r>
      <w:r w:rsidRPr="00D86172">
        <w:rPr>
          <w:rFonts w:asciiTheme="minorHAnsi" w:eastAsiaTheme="minorHAnsi" w:hAnsiTheme="minorHAnsi" w:cstheme="minorBidi"/>
          <w:kern w:val="2"/>
          <w:sz w:val="20"/>
          <w:lang w:val="en-US" w:bidi="he-IL"/>
          <w14:ligatures w14:val="standardContextual"/>
        </w:rPr>
        <w:t xml:space="preserve">, Email </w:t>
      </w:r>
      <w:hyperlink r:id="rId12" w:history="1">
        <w:r w:rsidRPr="00D86172">
          <w:rPr>
            <w:rFonts w:asciiTheme="minorHAnsi" w:eastAsiaTheme="minorHAnsi" w:hAnsiTheme="minorHAnsi" w:cs="Segoe UI"/>
            <w:color w:val="0000FF"/>
            <w:kern w:val="2"/>
            <w:sz w:val="20"/>
            <w:u w:val="single"/>
            <w:lang w:val="en-US" w:bidi="he-IL"/>
            <w14:ligatures w14:val="standardContextual"/>
          </w:rPr>
          <w:t>press@hraf.gr</w:t>
        </w:r>
      </w:hyperlink>
      <w:r w:rsidRPr="00D86172">
        <w:rPr>
          <w:rFonts w:asciiTheme="minorHAnsi" w:eastAsiaTheme="minorHAnsi" w:hAnsiTheme="minorHAnsi" w:cstheme="minorBidi"/>
          <w:kern w:val="2"/>
          <w:sz w:val="20"/>
          <w:lang w:val="en-US" w:bidi="he-IL"/>
          <w14:ligatures w14:val="standardContextual"/>
        </w:rPr>
        <w:t xml:space="preserve"> &amp; </w:t>
      </w:r>
      <w:r w:rsidRPr="00D86172">
        <w:rPr>
          <w:rFonts w:asciiTheme="minorHAnsi" w:eastAsiaTheme="minorHAnsi" w:hAnsiTheme="minorHAnsi" w:cs="Segoe UI"/>
          <w:color w:val="0000FF"/>
          <w:kern w:val="2"/>
          <w:sz w:val="20"/>
          <w:u w:val="single"/>
          <w:lang w:val="en-US" w:bidi="he-IL"/>
          <w14:ligatures w14:val="standardContextual"/>
        </w:rPr>
        <w:t>atopas@hraf.gr</w:t>
      </w:r>
    </w:p>
    <w:p w14:paraId="3AC667CF" w14:textId="77777777" w:rsidR="006D5E0D" w:rsidRPr="00D86172" w:rsidRDefault="006D5E0D" w:rsidP="006D5E0D">
      <w:pPr>
        <w:tabs>
          <w:tab w:val="left" w:pos="1308"/>
        </w:tabs>
        <w:rPr>
          <w:rFonts w:asciiTheme="minorHAnsi" w:hAnsiTheme="minorHAnsi" w:cstheme="minorHAnsi"/>
          <w:lang w:val="en-US"/>
        </w:rPr>
      </w:pPr>
    </w:p>
    <w:p w14:paraId="6CAA34E1" w14:textId="77DF2785" w:rsidR="00FE7A21" w:rsidRPr="00FE7A21" w:rsidRDefault="00FE7A21" w:rsidP="00FE7A21">
      <w:pPr>
        <w:jc w:val="both"/>
        <w:rPr>
          <w:lang w:val="en-US"/>
        </w:rPr>
      </w:pPr>
    </w:p>
    <w:sectPr w:rsidR="00FE7A21" w:rsidRPr="00FE7A21" w:rsidSect="00D4497B">
      <w:headerReference w:type="default" r:id="rId13"/>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8ACF7" w14:textId="77777777" w:rsidR="00AA42CF" w:rsidRDefault="00AA42CF" w:rsidP="00456E38">
      <w:pPr>
        <w:spacing w:after="0" w:line="240" w:lineRule="auto"/>
      </w:pPr>
      <w:r>
        <w:separator/>
      </w:r>
    </w:p>
  </w:endnote>
  <w:endnote w:type="continuationSeparator" w:id="0">
    <w:p w14:paraId="2016B4C6" w14:textId="77777777" w:rsidR="00AA42CF" w:rsidRDefault="00AA42CF"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01A56" w14:textId="77777777" w:rsidR="00AA42CF" w:rsidRDefault="00AA42CF" w:rsidP="00456E38">
      <w:pPr>
        <w:spacing w:after="0" w:line="240" w:lineRule="auto"/>
      </w:pPr>
      <w:r>
        <w:separator/>
      </w:r>
    </w:p>
  </w:footnote>
  <w:footnote w:type="continuationSeparator" w:id="0">
    <w:p w14:paraId="76EE35CF" w14:textId="77777777" w:rsidR="00AA42CF" w:rsidRDefault="00AA42CF" w:rsidP="0045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7757B" w14:textId="1A750699" w:rsidR="00047D39" w:rsidRDefault="00532989" w:rsidP="00532989">
    <w:r>
      <w:t xml:space="preserve">                                              </w:t>
    </w:r>
    <w:r w:rsidR="00D6621C">
      <w:rPr>
        <w:noProof/>
      </w:rPr>
      <w:drawing>
        <wp:inline distT="0" distB="0" distL="0" distR="0" wp14:anchorId="04BAE395" wp14:editId="6F8310EE">
          <wp:extent cx="2402014" cy="583158"/>
          <wp:effectExtent l="0" t="0" r="0" b="7620"/>
          <wp:docPr id="1" name="Picture 1" descr="Text,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tab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527" cy="594450"/>
                  </a:xfrm>
                  <a:prstGeom prst="rect">
                    <a:avLst/>
                  </a:prstGeom>
                  <a:noFill/>
                  <a:ln>
                    <a:noFill/>
                  </a:ln>
                </pic:spPr>
              </pic:pic>
            </a:graphicData>
          </a:graphic>
        </wp:inline>
      </w:drawing>
    </w:r>
  </w:p>
  <w:p w14:paraId="0C92CBD9" w14:textId="77777777" w:rsidR="001C67F7" w:rsidRDefault="001C67F7" w:rsidP="000E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4EBC"/>
    <w:multiLevelType w:val="hybridMultilevel"/>
    <w:tmpl w:val="652E36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E673B"/>
    <w:multiLevelType w:val="hybridMultilevel"/>
    <w:tmpl w:val="FC1A3E6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C766B6"/>
    <w:multiLevelType w:val="hybridMultilevel"/>
    <w:tmpl w:val="5CEA00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13DF02F1"/>
    <w:multiLevelType w:val="hybridMultilevel"/>
    <w:tmpl w:val="AC3E482A"/>
    <w:lvl w:ilvl="0" w:tplc="55F62A8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C4D78"/>
    <w:multiLevelType w:val="hybridMultilevel"/>
    <w:tmpl w:val="2A402E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9A21D69"/>
    <w:multiLevelType w:val="hybridMultilevel"/>
    <w:tmpl w:val="13BA07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C269C"/>
    <w:multiLevelType w:val="multilevel"/>
    <w:tmpl w:val="C7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11" w15:restartNumberingAfterBreak="0">
    <w:nsid w:val="254204A4"/>
    <w:multiLevelType w:val="hybridMultilevel"/>
    <w:tmpl w:val="8D2C33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B6663B"/>
    <w:multiLevelType w:val="hybridMultilevel"/>
    <w:tmpl w:val="550C27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D7E76E6"/>
    <w:multiLevelType w:val="hybridMultilevel"/>
    <w:tmpl w:val="F9409A0E"/>
    <w:lvl w:ilvl="0" w:tplc="2DC405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40205D7F"/>
    <w:multiLevelType w:val="hybridMultilevel"/>
    <w:tmpl w:val="3D62494C"/>
    <w:lvl w:ilvl="0" w:tplc="7E96AE6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B18C5"/>
    <w:multiLevelType w:val="hybridMultilevel"/>
    <w:tmpl w:val="E1FE79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19" w15:restartNumberingAfterBreak="0">
    <w:nsid w:val="46044E8F"/>
    <w:multiLevelType w:val="hybridMultilevel"/>
    <w:tmpl w:val="5900CBA6"/>
    <w:lvl w:ilvl="0" w:tplc="931E674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43C37"/>
    <w:multiLevelType w:val="hybridMultilevel"/>
    <w:tmpl w:val="863E8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A50D1A"/>
    <w:multiLevelType w:val="hybridMultilevel"/>
    <w:tmpl w:val="6DBEA58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AC0348"/>
    <w:multiLevelType w:val="hybridMultilevel"/>
    <w:tmpl w:val="F596004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FD6FDA"/>
    <w:multiLevelType w:val="hybridMultilevel"/>
    <w:tmpl w:val="66927C6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62EC32E1"/>
    <w:multiLevelType w:val="hybridMultilevel"/>
    <w:tmpl w:val="3B8EFF3C"/>
    <w:lvl w:ilvl="0" w:tplc="5660FAF6">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B4081D"/>
    <w:multiLevelType w:val="hybridMultilevel"/>
    <w:tmpl w:val="853E2C1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7CA79F1"/>
    <w:multiLevelType w:val="hybridMultilevel"/>
    <w:tmpl w:val="5C4C50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869694">
    <w:abstractNumId w:val="18"/>
  </w:num>
  <w:num w:numId="2" w16cid:durableId="1816096909">
    <w:abstractNumId w:val="10"/>
  </w:num>
  <w:num w:numId="3" w16cid:durableId="1124542514">
    <w:abstractNumId w:val="8"/>
  </w:num>
  <w:num w:numId="4" w16cid:durableId="1608344740">
    <w:abstractNumId w:val="31"/>
  </w:num>
  <w:num w:numId="5" w16cid:durableId="681856097">
    <w:abstractNumId w:val="14"/>
  </w:num>
  <w:num w:numId="6" w16cid:durableId="214515023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7" w16cid:durableId="136170819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8" w16cid:durableId="1895047056">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9" w16cid:durableId="574439526">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16cid:durableId="56706112">
    <w:abstractNumId w:val="5"/>
  </w:num>
  <w:num w:numId="11" w16cid:durableId="1280916240">
    <w:abstractNumId w:val="15"/>
  </w:num>
  <w:num w:numId="12" w16cid:durableId="1357732019">
    <w:abstractNumId w:val="24"/>
  </w:num>
  <w:num w:numId="13" w16cid:durableId="1447893081">
    <w:abstractNumId w:val="12"/>
  </w:num>
  <w:num w:numId="14" w16cid:durableId="1955165700">
    <w:abstractNumId w:val="9"/>
  </w:num>
  <w:num w:numId="15" w16cid:durableId="917403429">
    <w:abstractNumId w:val="3"/>
  </w:num>
  <w:num w:numId="16" w16cid:durableId="377516461">
    <w:abstractNumId w:val="20"/>
  </w:num>
  <w:num w:numId="17" w16cid:durableId="1986230696">
    <w:abstractNumId w:val="13"/>
  </w:num>
  <w:num w:numId="18" w16cid:durableId="889192924">
    <w:abstractNumId w:val="4"/>
  </w:num>
  <w:num w:numId="19" w16cid:durableId="488182285">
    <w:abstractNumId w:val="25"/>
  </w:num>
  <w:num w:numId="20" w16cid:durableId="204567894">
    <w:abstractNumId w:val="16"/>
  </w:num>
  <w:num w:numId="21" w16cid:durableId="439029805">
    <w:abstractNumId w:val="19"/>
  </w:num>
  <w:num w:numId="22" w16cid:durableId="205485344">
    <w:abstractNumId w:val="0"/>
  </w:num>
  <w:num w:numId="23" w16cid:durableId="202131784">
    <w:abstractNumId w:val="6"/>
  </w:num>
  <w:num w:numId="24" w16cid:durableId="54205165">
    <w:abstractNumId w:val="27"/>
  </w:num>
  <w:num w:numId="25" w16cid:durableId="1243099760">
    <w:abstractNumId w:val="23"/>
  </w:num>
  <w:num w:numId="26" w16cid:durableId="604459997">
    <w:abstractNumId w:val="17"/>
  </w:num>
  <w:num w:numId="27" w16cid:durableId="963120781">
    <w:abstractNumId w:val="30"/>
  </w:num>
  <w:num w:numId="28" w16cid:durableId="1179271576">
    <w:abstractNumId w:val="2"/>
  </w:num>
  <w:num w:numId="29" w16cid:durableId="1894465430">
    <w:abstractNumId w:val="29"/>
  </w:num>
  <w:num w:numId="30" w16cid:durableId="285235268">
    <w:abstractNumId w:val="26"/>
  </w:num>
  <w:num w:numId="31" w16cid:durableId="33849230">
    <w:abstractNumId w:val="11"/>
  </w:num>
  <w:num w:numId="32" w16cid:durableId="233861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0MDUwMzEzNja2MDBX0lEKTi0uzszPAykwNKgFAJNbbS8tAAAA"/>
  </w:docVars>
  <w:rsids>
    <w:rsidRoot w:val="00456E38"/>
    <w:rsid w:val="0000031D"/>
    <w:rsid w:val="0000047F"/>
    <w:rsid w:val="000026E3"/>
    <w:rsid w:val="0000317E"/>
    <w:rsid w:val="00006614"/>
    <w:rsid w:val="00006FE3"/>
    <w:rsid w:val="0001095D"/>
    <w:rsid w:val="00013231"/>
    <w:rsid w:val="00014612"/>
    <w:rsid w:val="00015D44"/>
    <w:rsid w:val="00034A86"/>
    <w:rsid w:val="00042194"/>
    <w:rsid w:val="0004714E"/>
    <w:rsid w:val="00047D39"/>
    <w:rsid w:val="000533B0"/>
    <w:rsid w:val="000547E9"/>
    <w:rsid w:val="00054A7E"/>
    <w:rsid w:val="0005614A"/>
    <w:rsid w:val="00056470"/>
    <w:rsid w:val="00056C8F"/>
    <w:rsid w:val="000571E5"/>
    <w:rsid w:val="00060EE7"/>
    <w:rsid w:val="000658F5"/>
    <w:rsid w:val="00067763"/>
    <w:rsid w:val="0007028B"/>
    <w:rsid w:val="0007417F"/>
    <w:rsid w:val="000747B2"/>
    <w:rsid w:val="000826CE"/>
    <w:rsid w:val="000840DC"/>
    <w:rsid w:val="00086A6D"/>
    <w:rsid w:val="00090C98"/>
    <w:rsid w:val="0009206A"/>
    <w:rsid w:val="00096D1F"/>
    <w:rsid w:val="000A194B"/>
    <w:rsid w:val="000A59A9"/>
    <w:rsid w:val="000B31D1"/>
    <w:rsid w:val="000B7DBF"/>
    <w:rsid w:val="000C2DFD"/>
    <w:rsid w:val="000C708B"/>
    <w:rsid w:val="000D221D"/>
    <w:rsid w:val="000D4083"/>
    <w:rsid w:val="000D7EBC"/>
    <w:rsid w:val="000D7FAA"/>
    <w:rsid w:val="000E3767"/>
    <w:rsid w:val="000E56C3"/>
    <w:rsid w:val="000F05FA"/>
    <w:rsid w:val="000F1C7A"/>
    <w:rsid w:val="000F56C4"/>
    <w:rsid w:val="000F6060"/>
    <w:rsid w:val="00101825"/>
    <w:rsid w:val="00106D39"/>
    <w:rsid w:val="00110038"/>
    <w:rsid w:val="00123083"/>
    <w:rsid w:val="00130F02"/>
    <w:rsid w:val="00131BF2"/>
    <w:rsid w:val="00136AA2"/>
    <w:rsid w:val="00140D2E"/>
    <w:rsid w:val="00141748"/>
    <w:rsid w:val="00145926"/>
    <w:rsid w:val="001500DF"/>
    <w:rsid w:val="00151C82"/>
    <w:rsid w:val="00153684"/>
    <w:rsid w:val="0015403C"/>
    <w:rsid w:val="00155815"/>
    <w:rsid w:val="00155FC0"/>
    <w:rsid w:val="001609AE"/>
    <w:rsid w:val="0016167F"/>
    <w:rsid w:val="00161A9A"/>
    <w:rsid w:val="001635B9"/>
    <w:rsid w:val="001676D4"/>
    <w:rsid w:val="0017043B"/>
    <w:rsid w:val="0018026E"/>
    <w:rsid w:val="00180A1B"/>
    <w:rsid w:val="001871AF"/>
    <w:rsid w:val="00190792"/>
    <w:rsid w:val="00190F92"/>
    <w:rsid w:val="00196191"/>
    <w:rsid w:val="001A014F"/>
    <w:rsid w:val="001A0CAF"/>
    <w:rsid w:val="001A1113"/>
    <w:rsid w:val="001A2D03"/>
    <w:rsid w:val="001A3010"/>
    <w:rsid w:val="001A3341"/>
    <w:rsid w:val="001A5DE7"/>
    <w:rsid w:val="001B32E1"/>
    <w:rsid w:val="001B3381"/>
    <w:rsid w:val="001B4B2D"/>
    <w:rsid w:val="001B69B7"/>
    <w:rsid w:val="001B7A1D"/>
    <w:rsid w:val="001C1F3A"/>
    <w:rsid w:val="001C2060"/>
    <w:rsid w:val="001C4A63"/>
    <w:rsid w:val="001C67F7"/>
    <w:rsid w:val="001C719E"/>
    <w:rsid w:val="001D1F83"/>
    <w:rsid w:val="001D2B8F"/>
    <w:rsid w:val="001D32E1"/>
    <w:rsid w:val="001D37EF"/>
    <w:rsid w:val="001D592A"/>
    <w:rsid w:val="001E206E"/>
    <w:rsid w:val="001E5D29"/>
    <w:rsid w:val="001E6FCE"/>
    <w:rsid w:val="001F217C"/>
    <w:rsid w:val="001F2856"/>
    <w:rsid w:val="00201FAF"/>
    <w:rsid w:val="00205170"/>
    <w:rsid w:val="002071B6"/>
    <w:rsid w:val="00210F5A"/>
    <w:rsid w:val="002121B2"/>
    <w:rsid w:val="00214C63"/>
    <w:rsid w:val="002166EF"/>
    <w:rsid w:val="002176D2"/>
    <w:rsid w:val="0022194C"/>
    <w:rsid w:val="002235BA"/>
    <w:rsid w:val="00230EA0"/>
    <w:rsid w:val="00232B14"/>
    <w:rsid w:val="002352A8"/>
    <w:rsid w:val="0023624D"/>
    <w:rsid w:val="0024234B"/>
    <w:rsid w:val="00243E27"/>
    <w:rsid w:val="00244269"/>
    <w:rsid w:val="00244FEF"/>
    <w:rsid w:val="0024628B"/>
    <w:rsid w:val="002504E5"/>
    <w:rsid w:val="00253B4F"/>
    <w:rsid w:val="00255B21"/>
    <w:rsid w:val="00257A44"/>
    <w:rsid w:val="00257B55"/>
    <w:rsid w:val="002623B4"/>
    <w:rsid w:val="00262862"/>
    <w:rsid w:val="00263B90"/>
    <w:rsid w:val="00264838"/>
    <w:rsid w:val="00266AAA"/>
    <w:rsid w:val="00266FDD"/>
    <w:rsid w:val="00267E97"/>
    <w:rsid w:val="00272D56"/>
    <w:rsid w:val="00281085"/>
    <w:rsid w:val="00283BC4"/>
    <w:rsid w:val="002847E6"/>
    <w:rsid w:val="0029465D"/>
    <w:rsid w:val="00294E24"/>
    <w:rsid w:val="00295E59"/>
    <w:rsid w:val="002A256B"/>
    <w:rsid w:val="002B0269"/>
    <w:rsid w:val="002B4A06"/>
    <w:rsid w:val="002B4B67"/>
    <w:rsid w:val="002B50D2"/>
    <w:rsid w:val="002B79CE"/>
    <w:rsid w:val="002C105C"/>
    <w:rsid w:val="002C5BF2"/>
    <w:rsid w:val="002D12CB"/>
    <w:rsid w:val="002E2E96"/>
    <w:rsid w:val="002F0083"/>
    <w:rsid w:val="002F5699"/>
    <w:rsid w:val="002F6C2C"/>
    <w:rsid w:val="002F6E11"/>
    <w:rsid w:val="0030164B"/>
    <w:rsid w:val="00310AF8"/>
    <w:rsid w:val="00317263"/>
    <w:rsid w:val="00317E1B"/>
    <w:rsid w:val="003240B0"/>
    <w:rsid w:val="00327234"/>
    <w:rsid w:val="0033221B"/>
    <w:rsid w:val="00332551"/>
    <w:rsid w:val="00332C33"/>
    <w:rsid w:val="00333BD3"/>
    <w:rsid w:val="00335AB2"/>
    <w:rsid w:val="00337EF1"/>
    <w:rsid w:val="00341C88"/>
    <w:rsid w:val="00341EC8"/>
    <w:rsid w:val="00341F1F"/>
    <w:rsid w:val="00350E6A"/>
    <w:rsid w:val="003600CF"/>
    <w:rsid w:val="003603DE"/>
    <w:rsid w:val="003616D5"/>
    <w:rsid w:val="00364D08"/>
    <w:rsid w:val="003767CD"/>
    <w:rsid w:val="003841F8"/>
    <w:rsid w:val="0039487D"/>
    <w:rsid w:val="00397048"/>
    <w:rsid w:val="003A30A4"/>
    <w:rsid w:val="003A3650"/>
    <w:rsid w:val="003A5662"/>
    <w:rsid w:val="003A7898"/>
    <w:rsid w:val="003A7EFB"/>
    <w:rsid w:val="003B2716"/>
    <w:rsid w:val="003B5034"/>
    <w:rsid w:val="003C44E6"/>
    <w:rsid w:val="003D2F89"/>
    <w:rsid w:val="003D4334"/>
    <w:rsid w:val="003D6D60"/>
    <w:rsid w:val="003D6F29"/>
    <w:rsid w:val="003E0FCC"/>
    <w:rsid w:val="003E4C26"/>
    <w:rsid w:val="003E4F26"/>
    <w:rsid w:val="003E6EA0"/>
    <w:rsid w:val="003F0588"/>
    <w:rsid w:val="003F1216"/>
    <w:rsid w:val="003F2AC1"/>
    <w:rsid w:val="003F5A09"/>
    <w:rsid w:val="00411603"/>
    <w:rsid w:val="00411CA7"/>
    <w:rsid w:val="00416017"/>
    <w:rsid w:val="00417BC0"/>
    <w:rsid w:val="00423476"/>
    <w:rsid w:val="00425859"/>
    <w:rsid w:val="004263BD"/>
    <w:rsid w:val="00426938"/>
    <w:rsid w:val="00427993"/>
    <w:rsid w:val="004309DF"/>
    <w:rsid w:val="00433BAB"/>
    <w:rsid w:val="004415F5"/>
    <w:rsid w:val="0045088C"/>
    <w:rsid w:val="00455822"/>
    <w:rsid w:val="00456E38"/>
    <w:rsid w:val="00460486"/>
    <w:rsid w:val="00461561"/>
    <w:rsid w:val="00462ADC"/>
    <w:rsid w:val="00462EE7"/>
    <w:rsid w:val="00470945"/>
    <w:rsid w:val="00472699"/>
    <w:rsid w:val="0047282A"/>
    <w:rsid w:val="00472EE2"/>
    <w:rsid w:val="004740D7"/>
    <w:rsid w:val="0047484B"/>
    <w:rsid w:val="00476490"/>
    <w:rsid w:val="00480420"/>
    <w:rsid w:val="0048587B"/>
    <w:rsid w:val="00486695"/>
    <w:rsid w:val="00491090"/>
    <w:rsid w:val="004A1670"/>
    <w:rsid w:val="004A1D05"/>
    <w:rsid w:val="004A2FF5"/>
    <w:rsid w:val="004B2DEF"/>
    <w:rsid w:val="004B31F9"/>
    <w:rsid w:val="004B3F8A"/>
    <w:rsid w:val="004C12B9"/>
    <w:rsid w:val="004C4644"/>
    <w:rsid w:val="004C5CF4"/>
    <w:rsid w:val="004C7476"/>
    <w:rsid w:val="004C7800"/>
    <w:rsid w:val="004D156C"/>
    <w:rsid w:val="004E18AC"/>
    <w:rsid w:val="004E78F0"/>
    <w:rsid w:val="00503B39"/>
    <w:rsid w:val="00505C07"/>
    <w:rsid w:val="00505E99"/>
    <w:rsid w:val="00507E69"/>
    <w:rsid w:val="005112EA"/>
    <w:rsid w:val="00511645"/>
    <w:rsid w:val="00511F0F"/>
    <w:rsid w:val="00512806"/>
    <w:rsid w:val="00515418"/>
    <w:rsid w:val="005230BF"/>
    <w:rsid w:val="00524349"/>
    <w:rsid w:val="00527516"/>
    <w:rsid w:val="00532989"/>
    <w:rsid w:val="00532D4A"/>
    <w:rsid w:val="00536D19"/>
    <w:rsid w:val="00537AA5"/>
    <w:rsid w:val="00537CB9"/>
    <w:rsid w:val="00542003"/>
    <w:rsid w:val="00543DFE"/>
    <w:rsid w:val="005500CF"/>
    <w:rsid w:val="00551CFA"/>
    <w:rsid w:val="0055288A"/>
    <w:rsid w:val="00552BD8"/>
    <w:rsid w:val="00556462"/>
    <w:rsid w:val="00563C58"/>
    <w:rsid w:val="00564F1D"/>
    <w:rsid w:val="00564F48"/>
    <w:rsid w:val="00565A49"/>
    <w:rsid w:val="00574313"/>
    <w:rsid w:val="0057558D"/>
    <w:rsid w:val="0057654F"/>
    <w:rsid w:val="00585198"/>
    <w:rsid w:val="00586008"/>
    <w:rsid w:val="00590BAC"/>
    <w:rsid w:val="00597DA2"/>
    <w:rsid w:val="005A0049"/>
    <w:rsid w:val="005A1F42"/>
    <w:rsid w:val="005A3B6C"/>
    <w:rsid w:val="005A4916"/>
    <w:rsid w:val="005A4BC9"/>
    <w:rsid w:val="005A58EC"/>
    <w:rsid w:val="005B27B0"/>
    <w:rsid w:val="005B463E"/>
    <w:rsid w:val="005B739D"/>
    <w:rsid w:val="005B798B"/>
    <w:rsid w:val="005C16DB"/>
    <w:rsid w:val="005C5453"/>
    <w:rsid w:val="005D6DE4"/>
    <w:rsid w:val="005E42F7"/>
    <w:rsid w:val="005F18E8"/>
    <w:rsid w:val="005F1FC8"/>
    <w:rsid w:val="006101E7"/>
    <w:rsid w:val="0061042B"/>
    <w:rsid w:val="006105E3"/>
    <w:rsid w:val="006159F6"/>
    <w:rsid w:val="00622380"/>
    <w:rsid w:val="00623A42"/>
    <w:rsid w:val="0062729B"/>
    <w:rsid w:val="0063124E"/>
    <w:rsid w:val="00631862"/>
    <w:rsid w:val="00632A7A"/>
    <w:rsid w:val="00632B4A"/>
    <w:rsid w:val="00636541"/>
    <w:rsid w:val="00640C13"/>
    <w:rsid w:val="006444EC"/>
    <w:rsid w:val="00645DF3"/>
    <w:rsid w:val="006466E8"/>
    <w:rsid w:val="00651C29"/>
    <w:rsid w:val="00654845"/>
    <w:rsid w:val="00657355"/>
    <w:rsid w:val="006611C6"/>
    <w:rsid w:val="006654F4"/>
    <w:rsid w:val="00670B3B"/>
    <w:rsid w:val="00671543"/>
    <w:rsid w:val="00671FB0"/>
    <w:rsid w:val="00677803"/>
    <w:rsid w:val="00680064"/>
    <w:rsid w:val="00682F5A"/>
    <w:rsid w:val="00686AB1"/>
    <w:rsid w:val="00692A76"/>
    <w:rsid w:val="006A5685"/>
    <w:rsid w:val="006A5CFD"/>
    <w:rsid w:val="006A63F1"/>
    <w:rsid w:val="006B1A9D"/>
    <w:rsid w:val="006B2A97"/>
    <w:rsid w:val="006B4B48"/>
    <w:rsid w:val="006C2141"/>
    <w:rsid w:val="006C36F8"/>
    <w:rsid w:val="006C4F35"/>
    <w:rsid w:val="006C5D68"/>
    <w:rsid w:val="006C6891"/>
    <w:rsid w:val="006C78EE"/>
    <w:rsid w:val="006D25CF"/>
    <w:rsid w:val="006D3822"/>
    <w:rsid w:val="006D49DA"/>
    <w:rsid w:val="006D55D3"/>
    <w:rsid w:val="006D5710"/>
    <w:rsid w:val="006D5E0D"/>
    <w:rsid w:val="006E09F6"/>
    <w:rsid w:val="006E32C0"/>
    <w:rsid w:val="006E5207"/>
    <w:rsid w:val="006E5820"/>
    <w:rsid w:val="006E6759"/>
    <w:rsid w:val="006F26EE"/>
    <w:rsid w:val="006F3AAE"/>
    <w:rsid w:val="006F3CF7"/>
    <w:rsid w:val="006F4E43"/>
    <w:rsid w:val="006F5AA4"/>
    <w:rsid w:val="006F72E3"/>
    <w:rsid w:val="00702D7E"/>
    <w:rsid w:val="00704197"/>
    <w:rsid w:val="00704442"/>
    <w:rsid w:val="007044F2"/>
    <w:rsid w:val="0070679D"/>
    <w:rsid w:val="007112D0"/>
    <w:rsid w:val="00715495"/>
    <w:rsid w:val="00720EA1"/>
    <w:rsid w:val="00721D76"/>
    <w:rsid w:val="00722A76"/>
    <w:rsid w:val="007259EB"/>
    <w:rsid w:val="00725A54"/>
    <w:rsid w:val="007307D4"/>
    <w:rsid w:val="00731A4E"/>
    <w:rsid w:val="00736BA1"/>
    <w:rsid w:val="00740BC3"/>
    <w:rsid w:val="00740F05"/>
    <w:rsid w:val="007573C5"/>
    <w:rsid w:val="0076301D"/>
    <w:rsid w:val="00767064"/>
    <w:rsid w:val="00771173"/>
    <w:rsid w:val="0077283F"/>
    <w:rsid w:val="00773311"/>
    <w:rsid w:val="00781847"/>
    <w:rsid w:val="00784863"/>
    <w:rsid w:val="00784944"/>
    <w:rsid w:val="00785D59"/>
    <w:rsid w:val="007931D2"/>
    <w:rsid w:val="00794B76"/>
    <w:rsid w:val="0079514A"/>
    <w:rsid w:val="007A3023"/>
    <w:rsid w:val="007A47CD"/>
    <w:rsid w:val="007B0B6F"/>
    <w:rsid w:val="007B1C0F"/>
    <w:rsid w:val="007B2CD7"/>
    <w:rsid w:val="007B3688"/>
    <w:rsid w:val="007B3ED9"/>
    <w:rsid w:val="007B4000"/>
    <w:rsid w:val="007B7776"/>
    <w:rsid w:val="007B78D0"/>
    <w:rsid w:val="007C0B32"/>
    <w:rsid w:val="007C21F4"/>
    <w:rsid w:val="007C4B9D"/>
    <w:rsid w:val="007C7EC8"/>
    <w:rsid w:val="007E2EA4"/>
    <w:rsid w:val="007E3689"/>
    <w:rsid w:val="007E4276"/>
    <w:rsid w:val="007F317B"/>
    <w:rsid w:val="007F7296"/>
    <w:rsid w:val="007F78D7"/>
    <w:rsid w:val="00801521"/>
    <w:rsid w:val="00801B8E"/>
    <w:rsid w:val="008158F5"/>
    <w:rsid w:val="0082682A"/>
    <w:rsid w:val="00830D97"/>
    <w:rsid w:val="00834352"/>
    <w:rsid w:val="00834D63"/>
    <w:rsid w:val="00837EB9"/>
    <w:rsid w:val="00840952"/>
    <w:rsid w:val="008455FE"/>
    <w:rsid w:val="00846AE5"/>
    <w:rsid w:val="008517A8"/>
    <w:rsid w:val="00852788"/>
    <w:rsid w:val="00855A51"/>
    <w:rsid w:val="008601C1"/>
    <w:rsid w:val="008611DE"/>
    <w:rsid w:val="00862390"/>
    <w:rsid w:val="0086349D"/>
    <w:rsid w:val="008639B5"/>
    <w:rsid w:val="00865D94"/>
    <w:rsid w:val="00870B3E"/>
    <w:rsid w:val="00872003"/>
    <w:rsid w:val="00885725"/>
    <w:rsid w:val="00886BBD"/>
    <w:rsid w:val="008908B4"/>
    <w:rsid w:val="00891806"/>
    <w:rsid w:val="008A0126"/>
    <w:rsid w:val="008A1A9E"/>
    <w:rsid w:val="008A23F6"/>
    <w:rsid w:val="008B0436"/>
    <w:rsid w:val="008B0966"/>
    <w:rsid w:val="008C06A3"/>
    <w:rsid w:val="008C07C2"/>
    <w:rsid w:val="008C2628"/>
    <w:rsid w:val="008C3C39"/>
    <w:rsid w:val="008C54AB"/>
    <w:rsid w:val="008C6485"/>
    <w:rsid w:val="008D1B16"/>
    <w:rsid w:val="008D2E4D"/>
    <w:rsid w:val="008D3B48"/>
    <w:rsid w:val="008D4367"/>
    <w:rsid w:val="008D4D6E"/>
    <w:rsid w:val="008D4E42"/>
    <w:rsid w:val="008D52DE"/>
    <w:rsid w:val="008E0802"/>
    <w:rsid w:val="008E232A"/>
    <w:rsid w:val="008E4472"/>
    <w:rsid w:val="008E6B49"/>
    <w:rsid w:val="008E6D49"/>
    <w:rsid w:val="008F1BBB"/>
    <w:rsid w:val="008F25FB"/>
    <w:rsid w:val="008F3AF4"/>
    <w:rsid w:val="00900FFE"/>
    <w:rsid w:val="009037A8"/>
    <w:rsid w:val="009061BC"/>
    <w:rsid w:val="009064B6"/>
    <w:rsid w:val="0091096F"/>
    <w:rsid w:val="00912FBD"/>
    <w:rsid w:val="0092044E"/>
    <w:rsid w:val="00924B98"/>
    <w:rsid w:val="00924E1F"/>
    <w:rsid w:val="00933D59"/>
    <w:rsid w:val="00935780"/>
    <w:rsid w:val="009409D8"/>
    <w:rsid w:val="009409F6"/>
    <w:rsid w:val="0094739D"/>
    <w:rsid w:val="00952EF6"/>
    <w:rsid w:val="00953E8D"/>
    <w:rsid w:val="00954B08"/>
    <w:rsid w:val="00960091"/>
    <w:rsid w:val="00965073"/>
    <w:rsid w:val="00970400"/>
    <w:rsid w:val="0097439A"/>
    <w:rsid w:val="0098323D"/>
    <w:rsid w:val="00983C63"/>
    <w:rsid w:val="009857EF"/>
    <w:rsid w:val="00985C18"/>
    <w:rsid w:val="00986D3B"/>
    <w:rsid w:val="009921D0"/>
    <w:rsid w:val="00994CAD"/>
    <w:rsid w:val="009A053A"/>
    <w:rsid w:val="009A0E26"/>
    <w:rsid w:val="009A6F8C"/>
    <w:rsid w:val="009B442D"/>
    <w:rsid w:val="009B69E3"/>
    <w:rsid w:val="009C03F4"/>
    <w:rsid w:val="009C5623"/>
    <w:rsid w:val="009C6959"/>
    <w:rsid w:val="009D1C00"/>
    <w:rsid w:val="009D2BCE"/>
    <w:rsid w:val="009D5258"/>
    <w:rsid w:val="009E33C3"/>
    <w:rsid w:val="009E39A2"/>
    <w:rsid w:val="009E3BCA"/>
    <w:rsid w:val="009E41E0"/>
    <w:rsid w:val="009E589D"/>
    <w:rsid w:val="009F087E"/>
    <w:rsid w:val="009F0ECB"/>
    <w:rsid w:val="009F308F"/>
    <w:rsid w:val="009F56AE"/>
    <w:rsid w:val="009F678C"/>
    <w:rsid w:val="00A0100A"/>
    <w:rsid w:val="00A01D83"/>
    <w:rsid w:val="00A03472"/>
    <w:rsid w:val="00A0556D"/>
    <w:rsid w:val="00A06ED5"/>
    <w:rsid w:val="00A12AC5"/>
    <w:rsid w:val="00A17A9B"/>
    <w:rsid w:val="00A2021F"/>
    <w:rsid w:val="00A229C8"/>
    <w:rsid w:val="00A22DAD"/>
    <w:rsid w:val="00A269DB"/>
    <w:rsid w:val="00A27ABB"/>
    <w:rsid w:val="00A35447"/>
    <w:rsid w:val="00A3578D"/>
    <w:rsid w:val="00A40635"/>
    <w:rsid w:val="00A42719"/>
    <w:rsid w:val="00A516ED"/>
    <w:rsid w:val="00A546C3"/>
    <w:rsid w:val="00A56453"/>
    <w:rsid w:val="00A56464"/>
    <w:rsid w:val="00A60246"/>
    <w:rsid w:val="00A62F8C"/>
    <w:rsid w:val="00A63B52"/>
    <w:rsid w:val="00A659A9"/>
    <w:rsid w:val="00A65A85"/>
    <w:rsid w:val="00A67E99"/>
    <w:rsid w:val="00A73EB2"/>
    <w:rsid w:val="00A758F6"/>
    <w:rsid w:val="00A75FFA"/>
    <w:rsid w:val="00A778B1"/>
    <w:rsid w:val="00A81F6E"/>
    <w:rsid w:val="00A84BBF"/>
    <w:rsid w:val="00A85915"/>
    <w:rsid w:val="00A86E91"/>
    <w:rsid w:val="00A87017"/>
    <w:rsid w:val="00A90D62"/>
    <w:rsid w:val="00A9159F"/>
    <w:rsid w:val="00AA42CF"/>
    <w:rsid w:val="00AA492F"/>
    <w:rsid w:val="00AA51ED"/>
    <w:rsid w:val="00AB2E3B"/>
    <w:rsid w:val="00AB35A1"/>
    <w:rsid w:val="00AC59FF"/>
    <w:rsid w:val="00AD10C0"/>
    <w:rsid w:val="00AD20D2"/>
    <w:rsid w:val="00AD59AA"/>
    <w:rsid w:val="00AE28F6"/>
    <w:rsid w:val="00AE7811"/>
    <w:rsid w:val="00AF5C05"/>
    <w:rsid w:val="00AF6FED"/>
    <w:rsid w:val="00AF70F0"/>
    <w:rsid w:val="00B060AB"/>
    <w:rsid w:val="00B0719F"/>
    <w:rsid w:val="00B073C3"/>
    <w:rsid w:val="00B106AE"/>
    <w:rsid w:val="00B203E9"/>
    <w:rsid w:val="00B217B9"/>
    <w:rsid w:val="00B21B28"/>
    <w:rsid w:val="00B23531"/>
    <w:rsid w:val="00B27B2D"/>
    <w:rsid w:val="00B30925"/>
    <w:rsid w:val="00B34597"/>
    <w:rsid w:val="00B36AA3"/>
    <w:rsid w:val="00B4132B"/>
    <w:rsid w:val="00B43CE1"/>
    <w:rsid w:val="00B45EBA"/>
    <w:rsid w:val="00B516FE"/>
    <w:rsid w:val="00B51BC7"/>
    <w:rsid w:val="00B530B2"/>
    <w:rsid w:val="00B550B1"/>
    <w:rsid w:val="00B571FC"/>
    <w:rsid w:val="00B5769A"/>
    <w:rsid w:val="00B67338"/>
    <w:rsid w:val="00B70DF1"/>
    <w:rsid w:val="00B7634D"/>
    <w:rsid w:val="00B76B8D"/>
    <w:rsid w:val="00B76BD4"/>
    <w:rsid w:val="00B77A43"/>
    <w:rsid w:val="00B8131A"/>
    <w:rsid w:val="00B817A6"/>
    <w:rsid w:val="00B92C5B"/>
    <w:rsid w:val="00B9313E"/>
    <w:rsid w:val="00B9572C"/>
    <w:rsid w:val="00B95D86"/>
    <w:rsid w:val="00B968D6"/>
    <w:rsid w:val="00BA47A7"/>
    <w:rsid w:val="00BA4AB8"/>
    <w:rsid w:val="00BB0650"/>
    <w:rsid w:val="00BB257A"/>
    <w:rsid w:val="00BB31CF"/>
    <w:rsid w:val="00BB44A7"/>
    <w:rsid w:val="00BB4D9A"/>
    <w:rsid w:val="00BB54B3"/>
    <w:rsid w:val="00BB6501"/>
    <w:rsid w:val="00BC1BCF"/>
    <w:rsid w:val="00BC387F"/>
    <w:rsid w:val="00BC44DF"/>
    <w:rsid w:val="00BC4B03"/>
    <w:rsid w:val="00BC54BC"/>
    <w:rsid w:val="00BC6341"/>
    <w:rsid w:val="00BC7B70"/>
    <w:rsid w:val="00BD0747"/>
    <w:rsid w:val="00BD71F6"/>
    <w:rsid w:val="00BE089F"/>
    <w:rsid w:val="00BE15DA"/>
    <w:rsid w:val="00BE37BC"/>
    <w:rsid w:val="00BF026E"/>
    <w:rsid w:val="00BF13DD"/>
    <w:rsid w:val="00BF1A36"/>
    <w:rsid w:val="00BF32C0"/>
    <w:rsid w:val="00BF42D5"/>
    <w:rsid w:val="00BF46E8"/>
    <w:rsid w:val="00C0448B"/>
    <w:rsid w:val="00C16CC4"/>
    <w:rsid w:val="00C20FF7"/>
    <w:rsid w:val="00C26628"/>
    <w:rsid w:val="00C30355"/>
    <w:rsid w:val="00C31CE3"/>
    <w:rsid w:val="00C34892"/>
    <w:rsid w:val="00C40B65"/>
    <w:rsid w:val="00C430E0"/>
    <w:rsid w:val="00C43DDE"/>
    <w:rsid w:val="00C441F8"/>
    <w:rsid w:val="00C463E5"/>
    <w:rsid w:val="00C50E80"/>
    <w:rsid w:val="00C519DC"/>
    <w:rsid w:val="00C51A95"/>
    <w:rsid w:val="00C61605"/>
    <w:rsid w:val="00C621DC"/>
    <w:rsid w:val="00C65815"/>
    <w:rsid w:val="00C7143F"/>
    <w:rsid w:val="00C8454C"/>
    <w:rsid w:val="00C853D7"/>
    <w:rsid w:val="00C8649A"/>
    <w:rsid w:val="00C872B9"/>
    <w:rsid w:val="00C87D36"/>
    <w:rsid w:val="00C907E3"/>
    <w:rsid w:val="00C92F29"/>
    <w:rsid w:val="00C9664E"/>
    <w:rsid w:val="00C967A8"/>
    <w:rsid w:val="00C9712A"/>
    <w:rsid w:val="00CA0DAB"/>
    <w:rsid w:val="00CA35D7"/>
    <w:rsid w:val="00CB1399"/>
    <w:rsid w:val="00CB55FC"/>
    <w:rsid w:val="00CB5D7F"/>
    <w:rsid w:val="00CC1477"/>
    <w:rsid w:val="00CC315C"/>
    <w:rsid w:val="00CC4E2F"/>
    <w:rsid w:val="00CD13C4"/>
    <w:rsid w:val="00CD18F7"/>
    <w:rsid w:val="00CD3954"/>
    <w:rsid w:val="00CE0777"/>
    <w:rsid w:val="00CE4934"/>
    <w:rsid w:val="00CE5CD0"/>
    <w:rsid w:val="00CF0111"/>
    <w:rsid w:val="00CF0740"/>
    <w:rsid w:val="00CF2C74"/>
    <w:rsid w:val="00CF3951"/>
    <w:rsid w:val="00CF4654"/>
    <w:rsid w:val="00CF6BE6"/>
    <w:rsid w:val="00D0642B"/>
    <w:rsid w:val="00D06E2C"/>
    <w:rsid w:val="00D07E8D"/>
    <w:rsid w:val="00D12461"/>
    <w:rsid w:val="00D12540"/>
    <w:rsid w:val="00D1386D"/>
    <w:rsid w:val="00D172FF"/>
    <w:rsid w:val="00D2247E"/>
    <w:rsid w:val="00D227E2"/>
    <w:rsid w:val="00D241F4"/>
    <w:rsid w:val="00D26987"/>
    <w:rsid w:val="00D347CC"/>
    <w:rsid w:val="00D355B0"/>
    <w:rsid w:val="00D41472"/>
    <w:rsid w:val="00D4497B"/>
    <w:rsid w:val="00D51840"/>
    <w:rsid w:val="00D568BB"/>
    <w:rsid w:val="00D6358A"/>
    <w:rsid w:val="00D6621C"/>
    <w:rsid w:val="00D664BA"/>
    <w:rsid w:val="00D7125A"/>
    <w:rsid w:val="00D712AA"/>
    <w:rsid w:val="00D74E30"/>
    <w:rsid w:val="00D76A04"/>
    <w:rsid w:val="00D807A9"/>
    <w:rsid w:val="00D84CAF"/>
    <w:rsid w:val="00D867C4"/>
    <w:rsid w:val="00D87E2C"/>
    <w:rsid w:val="00D90850"/>
    <w:rsid w:val="00D96B93"/>
    <w:rsid w:val="00D97F32"/>
    <w:rsid w:val="00DA5438"/>
    <w:rsid w:val="00DA54D6"/>
    <w:rsid w:val="00DA6258"/>
    <w:rsid w:val="00DA68D9"/>
    <w:rsid w:val="00DB408E"/>
    <w:rsid w:val="00DB7B87"/>
    <w:rsid w:val="00DC03D6"/>
    <w:rsid w:val="00DC04C2"/>
    <w:rsid w:val="00DC3A0E"/>
    <w:rsid w:val="00DC73B6"/>
    <w:rsid w:val="00DD0AD6"/>
    <w:rsid w:val="00DD2447"/>
    <w:rsid w:val="00DD270E"/>
    <w:rsid w:val="00DD2951"/>
    <w:rsid w:val="00DD43B5"/>
    <w:rsid w:val="00DE02A4"/>
    <w:rsid w:val="00DE1101"/>
    <w:rsid w:val="00DE55C2"/>
    <w:rsid w:val="00DF20B0"/>
    <w:rsid w:val="00DF3F00"/>
    <w:rsid w:val="00DF5388"/>
    <w:rsid w:val="00DF592A"/>
    <w:rsid w:val="00DF5B7B"/>
    <w:rsid w:val="00DF6AB2"/>
    <w:rsid w:val="00DF730B"/>
    <w:rsid w:val="00E00A98"/>
    <w:rsid w:val="00E041F9"/>
    <w:rsid w:val="00E05816"/>
    <w:rsid w:val="00E06979"/>
    <w:rsid w:val="00E06A54"/>
    <w:rsid w:val="00E1370C"/>
    <w:rsid w:val="00E15B51"/>
    <w:rsid w:val="00E15CA3"/>
    <w:rsid w:val="00E222A6"/>
    <w:rsid w:val="00E23135"/>
    <w:rsid w:val="00E25BA7"/>
    <w:rsid w:val="00E2650D"/>
    <w:rsid w:val="00E335E2"/>
    <w:rsid w:val="00E33834"/>
    <w:rsid w:val="00E33CCD"/>
    <w:rsid w:val="00E35772"/>
    <w:rsid w:val="00E40D05"/>
    <w:rsid w:val="00E41CB3"/>
    <w:rsid w:val="00E4621A"/>
    <w:rsid w:val="00E4735F"/>
    <w:rsid w:val="00E53B6F"/>
    <w:rsid w:val="00E5521A"/>
    <w:rsid w:val="00E61F7D"/>
    <w:rsid w:val="00E62AAA"/>
    <w:rsid w:val="00E6569C"/>
    <w:rsid w:val="00E71975"/>
    <w:rsid w:val="00E75291"/>
    <w:rsid w:val="00E83550"/>
    <w:rsid w:val="00E84CF1"/>
    <w:rsid w:val="00E87E17"/>
    <w:rsid w:val="00E962BE"/>
    <w:rsid w:val="00E96EA1"/>
    <w:rsid w:val="00EA38C6"/>
    <w:rsid w:val="00EB099D"/>
    <w:rsid w:val="00EB14EF"/>
    <w:rsid w:val="00EB1BF9"/>
    <w:rsid w:val="00EB32A0"/>
    <w:rsid w:val="00EB43BE"/>
    <w:rsid w:val="00EB5184"/>
    <w:rsid w:val="00EC0D71"/>
    <w:rsid w:val="00EC247E"/>
    <w:rsid w:val="00EC46AD"/>
    <w:rsid w:val="00ED37AC"/>
    <w:rsid w:val="00EE0CED"/>
    <w:rsid w:val="00EE42C5"/>
    <w:rsid w:val="00EE6CDA"/>
    <w:rsid w:val="00EF051D"/>
    <w:rsid w:val="00EF4217"/>
    <w:rsid w:val="00EF74E0"/>
    <w:rsid w:val="00EF7FF4"/>
    <w:rsid w:val="00F005EF"/>
    <w:rsid w:val="00F00925"/>
    <w:rsid w:val="00F0258B"/>
    <w:rsid w:val="00F03E4C"/>
    <w:rsid w:val="00F043D3"/>
    <w:rsid w:val="00F05288"/>
    <w:rsid w:val="00F0546A"/>
    <w:rsid w:val="00F06A32"/>
    <w:rsid w:val="00F0730B"/>
    <w:rsid w:val="00F07C43"/>
    <w:rsid w:val="00F10390"/>
    <w:rsid w:val="00F155D4"/>
    <w:rsid w:val="00F17ACF"/>
    <w:rsid w:val="00F22AD6"/>
    <w:rsid w:val="00F24815"/>
    <w:rsid w:val="00F31CAB"/>
    <w:rsid w:val="00F33D85"/>
    <w:rsid w:val="00F43216"/>
    <w:rsid w:val="00F478B0"/>
    <w:rsid w:val="00F541BF"/>
    <w:rsid w:val="00F547FF"/>
    <w:rsid w:val="00F60CA0"/>
    <w:rsid w:val="00F611A1"/>
    <w:rsid w:val="00F61A4B"/>
    <w:rsid w:val="00F62B07"/>
    <w:rsid w:val="00F63E3A"/>
    <w:rsid w:val="00F7172E"/>
    <w:rsid w:val="00F75055"/>
    <w:rsid w:val="00F82ABB"/>
    <w:rsid w:val="00F83ED3"/>
    <w:rsid w:val="00F85046"/>
    <w:rsid w:val="00F87D39"/>
    <w:rsid w:val="00F942F4"/>
    <w:rsid w:val="00F94B23"/>
    <w:rsid w:val="00F96A60"/>
    <w:rsid w:val="00FA12DD"/>
    <w:rsid w:val="00FA4E27"/>
    <w:rsid w:val="00FB3B31"/>
    <w:rsid w:val="00FB69EB"/>
    <w:rsid w:val="00FC1F53"/>
    <w:rsid w:val="00FE383A"/>
    <w:rsid w:val="00FE653A"/>
    <w:rsid w:val="00FE6688"/>
    <w:rsid w:val="00FE7A21"/>
    <w:rsid w:val="00FF1993"/>
    <w:rsid w:val="00FF764C"/>
    <w:rsid w:val="00FF7777"/>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04C"/>
  <w15:docId w15:val="{D6880FDD-5422-4888-B2F5-C64DE760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2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E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E38"/>
  </w:style>
  <w:style w:type="paragraph" w:styleId="BalloonText">
    <w:name w:val="Balloon Text"/>
    <w:basedOn w:val="Normal"/>
    <w:link w:val="BalloonTextChar"/>
    <w:uiPriority w:val="99"/>
    <w:semiHidden/>
    <w:unhideWhenUsed/>
    <w:rsid w:val="00456E3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456E38"/>
    <w:rPr>
      <w:rFonts w:ascii="Tahoma" w:hAnsi="Tahoma" w:cs="Tahoma"/>
      <w:sz w:val="16"/>
      <w:szCs w:val="16"/>
    </w:rPr>
  </w:style>
  <w:style w:type="paragraph" w:styleId="Footer">
    <w:name w:val="footer"/>
    <w:basedOn w:val="Normal"/>
    <w:link w:val="FooterChar"/>
    <w:uiPriority w:val="99"/>
    <w:unhideWhenUsed/>
    <w:rsid w:val="00456E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E38"/>
  </w:style>
  <w:style w:type="paragraph" w:styleId="ListParagraph">
    <w:name w:val="List Paragraph"/>
    <w:basedOn w:val="Normal"/>
    <w:uiPriority w:val="34"/>
    <w:qFormat/>
    <w:rsid w:val="009F678C"/>
    <w:pPr>
      <w:ind w:left="720"/>
      <w:contextualSpacing/>
    </w:pPr>
    <w:rPr>
      <w:lang w:eastAsia="en-US"/>
    </w:rPr>
  </w:style>
  <w:style w:type="character" w:styleId="CommentReference">
    <w:name w:val="annotation reference"/>
    <w:uiPriority w:val="99"/>
    <w:semiHidden/>
    <w:unhideWhenUsed/>
    <w:rsid w:val="003D6F29"/>
    <w:rPr>
      <w:sz w:val="16"/>
      <w:szCs w:val="16"/>
    </w:rPr>
  </w:style>
  <w:style w:type="paragraph" w:styleId="CommentText">
    <w:name w:val="annotation text"/>
    <w:basedOn w:val="Normal"/>
    <w:link w:val="CommentTextChar"/>
    <w:uiPriority w:val="99"/>
    <w:semiHidden/>
    <w:unhideWhenUsed/>
    <w:rsid w:val="003D6F29"/>
    <w:pPr>
      <w:spacing w:line="240" w:lineRule="auto"/>
    </w:pPr>
    <w:rPr>
      <w:sz w:val="20"/>
      <w:szCs w:val="20"/>
    </w:rPr>
  </w:style>
  <w:style w:type="character" w:customStyle="1" w:styleId="CommentTextChar">
    <w:name w:val="Comment Text Char"/>
    <w:link w:val="CommentText"/>
    <w:uiPriority w:val="99"/>
    <w:semiHidden/>
    <w:rsid w:val="003D6F29"/>
    <w:rPr>
      <w:sz w:val="20"/>
      <w:szCs w:val="20"/>
    </w:rPr>
  </w:style>
  <w:style w:type="paragraph" w:styleId="CommentSubject">
    <w:name w:val="annotation subject"/>
    <w:basedOn w:val="CommentText"/>
    <w:next w:val="CommentText"/>
    <w:link w:val="CommentSubjectChar"/>
    <w:uiPriority w:val="99"/>
    <w:semiHidden/>
    <w:unhideWhenUsed/>
    <w:rsid w:val="003D6F29"/>
    <w:rPr>
      <w:b/>
      <w:bCs/>
    </w:rPr>
  </w:style>
  <w:style w:type="character" w:customStyle="1" w:styleId="CommentSubjectChar">
    <w:name w:val="Comment Subject Char"/>
    <w:link w:val="CommentSubject"/>
    <w:uiPriority w:val="99"/>
    <w:semiHidden/>
    <w:rsid w:val="003D6F29"/>
    <w:rPr>
      <w:b/>
      <w:bCs/>
      <w:sz w:val="20"/>
      <w:szCs w:val="20"/>
    </w:rPr>
  </w:style>
  <w:style w:type="character" w:customStyle="1" w:styleId="hps">
    <w:name w:val="hps"/>
    <w:basedOn w:val="DefaultParagraphFont"/>
    <w:rsid w:val="00DA54D6"/>
  </w:style>
  <w:style w:type="paragraph" w:styleId="Revision">
    <w:name w:val="Revision"/>
    <w:hidden/>
    <w:uiPriority w:val="99"/>
    <w:semiHidden/>
    <w:rsid w:val="005A4BC9"/>
    <w:rPr>
      <w:sz w:val="22"/>
      <w:szCs w:val="22"/>
    </w:rPr>
  </w:style>
  <w:style w:type="character" w:styleId="Hyperlink">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433BAB"/>
    <w:rPr>
      <w:i/>
      <w:iCs/>
    </w:rPr>
  </w:style>
  <w:style w:type="character" w:styleId="FollowedHyperlink">
    <w:name w:val="FollowedHyperlink"/>
    <w:uiPriority w:val="99"/>
    <w:semiHidden/>
    <w:unhideWhenUsed/>
    <w:rsid w:val="007E3689"/>
    <w:rPr>
      <w:color w:val="800080"/>
      <w:u w:val="single"/>
    </w:rPr>
  </w:style>
  <w:style w:type="paragraph" w:customStyle="1" w:styleId="FraportText">
    <w:name w:val="FraportText"/>
    <w:basedOn w:val="Normal"/>
    <w:uiPriority w:val="99"/>
    <w:rsid w:val="00801B8E"/>
    <w:pPr>
      <w:spacing w:after="0" w:line="255" w:lineRule="atLeast"/>
    </w:pPr>
    <w:rPr>
      <w:rFonts w:ascii="Arial" w:eastAsia="Times New Roman" w:hAnsi="Arial"/>
      <w:sz w:val="20"/>
      <w:szCs w:val="24"/>
      <w:lang w:val="en-US" w:eastAsia="en-US" w:bidi="en-US"/>
    </w:rPr>
  </w:style>
  <w:style w:type="paragraph" w:customStyle="1" w:styleId="Style5">
    <w:name w:val="Style5"/>
    <w:basedOn w:val="Normal"/>
    <w:uiPriority w:val="99"/>
    <w:rsid w:val="000C708B"/>
    <w:pPr>
      <w:widowControl w:val="0"/>
      <w:autoSpaceDE w:val="0"/>
      <w:autoSpaceDN w:val="0"/>
      <w:adjustRightInd w:val="0"/>
      <w:spacing w:after="0" w:line="344" w:lineRule="exact"/>
      <w:jc w:val="both"/>
    </w:pPr>
    <w:rPr>
      <w:rFonts w:ascii="Segoe UI" w:eastAsia="Times New Roman" w:hAnsi="Segoe UI" w:cs="Segoe UI"/>
      <w:sz w:val="24"/>
      <w:szCs w:val="24"/>
    </w:rPr>
  </w:style>
  <w:style w:type="character" w:customStyle="1" w:styleId="StyleFontStyle45BodyCalibri">
    <w:name w:val="Style Font Style45 + +Body (Calibri)"/>
    <w:uiPriority w:val="99"/>
    <w:rsid w:val="000C708B"/>
    <w:rPr>
      <w:rFonts w:ascii="Calibri" w:hAnsi="Calibri" w:cs="Times New Roman"/>
      <w:sz w:val="22"/>
    </w:rPr>
  </w:style>
  <w:style w:type="character" w:customStyle="1" w:styleId="normaltextrun">
    <w:name w:val="normaltextrun"/>
    <w:basedOn w:val="DefaultParagraphFont"/>
    <w:rsid w:val="00FF7777"/>
  </w:style>
  <w:style w:type="character" w:customStyle="1" w:styleId="eop">
    <w:name w:val="eop"/>
    <w:basedOn w:val="DefaultParagraphFont"/>
    <w:rsid w:val="00FF7777"/>
  </w:style>
  <w:style w:type="paragraph" w:customStyle="1" w:styleId="paragraph">
    <w:name w:val="paragraph"/>
    <w:basedOn w:val="Normal"/>
    <w:rsid w:val="00FF7777"/>
    <w:pPr>
      <w:spacing w:before="100" w:beforeAutospacing="1" w:after="100" w:afterAutospacing="1" w:line="240" w:lineRule="auto"/>
    </w:pPr>
    <w:rPr>
      <w:rFonts w:ascii="Times New Roman" w:eastAsia="Times New Roman" w:hAnsi="Times New Roman"/>
      <w:sz w:val="24"/>
      <w:szCs w:val="24"/>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71973">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996701">
      <w:bodyDiv w:val="1"/>
      <w:marLeft w:val="0"/>
      <w:marRight w:val="0"/>
      <w:marTop w:val="0"/>
      <w:marBottom w:val="0"/>
      <w:divBdr>
        <w:top w:val="none" w:sz="0" w:space="0" w:color="auto"/>
        <w:left w:val="none" w:sz="0" w:space="0" w:color="auto"/>
        <w:bottom w:val="none" w:sz="0" w:space="0" w:color="auto"/>
        <w:right w:val="none" w:sz="0" w:space="0" w:color="auto"/>
      </w:divBdr>
    </w:div>
    <w:div w:id="473253688">
      <w:bodyDiv w:val="1"/>
      <w:marLeft w:val="0"/>
      <w:marRight w:val="0"/>
      <w:marTop w:val="0"/>
      <w:marBottom w:val="0"/>
      <w:divBdr>
        <w:top w:val="none" w:sz="0" w:space="0" w:color="auto"/>
        <w:left w:val="none" w:sz="0" w:space="0" w:color="auto"/>
        <w:bottom w:val="none" w:sz="0" w:space="0" w:color="auto"/>
        <w:right w:val="none" w:sz="0" w:space="0" w:color="auto"/>
      </w:divBdr>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794255576">
      <w:bodyDiv w:val="1"/>
      <w:marLeft w:val="0"/>
      <w:marRight w:val="0"/>
      <w:marTop w:val="0"/>
      <w:marBottom w:val="0"/>
      <w:divBdr>
        <w:top w:val="none" w:sz="0" w:space="0" w:color="auto"/>
        <w:left w:val="none" w:sz="0" w:space="0" w:color="auto"/>
        <w:bottom w:val="none" w:sz="0" w:space="0" w:color="auto"/>
        <w:right w:val="none" w:sz="0" w:space="0" w:color="auto"/>
      </w:divBdr>
    </w:div>
    <w:div w:id="815294934">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41033">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8579">
      <w:bodyDiv w:val="1"/>
      <w:marLeft w:val="0"/>
      <w:marRight w:val="0"/>
      <w:marTop w:val="0"/>
      <w:marBottom w:val="0"/>
      <w:divBdr>
        <w:top w:val="none" w:sz="0" w:space="0" w:color="auto"/>
        <w:left w:val="none" w:sz="0" w:space="0" w:color="auto"/>
        <w:bottom w:val="none" w:sz="0" w:space="0" w:color="auto"/>
        <w:right w:val="none" w:sz="0" w:space="0" w:color="auto"/>
      </w:divBdr>
    </w:div>
    <w:div w:id="1799907768">
      <w:bodyDiv w:val="1"/>
      <w:marLeft w:val="0"/>
      <w:marRight w:val="0"/>
      <w:marTop w:val="0"/>
      <w:marBottom w:val="0"/>
      <w:divBdr>
        <w:top w:val="none" w:sz="0" w:space="0" w:color="auto"/>
        <w:left w:val="none" w:sz="0" w:space="0" w:color="auto"/>
        <w:bottom w:val="none" w:sz="0" w:space="0" w:color="auto"/>
        <w:right w:val="none" w:sz="0" w:space="0" w:color="auto"/>
      </w:divBdr>
    </w:div>
    <w:div w:id="1971011292">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hraf.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f.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F2F8D8-B1F0-4423-A1BA-0E8D025C0425}">
  <ds:schemaRefs>
    <ds:schemaRef ds:uri="http://schemas.openxmlformats.org/officeDocument/2006/bibliography"/>
  </ds:schemaRefs>
</ds:datastoreItem>
</file>

<file path=customXml/itemProps2.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8969A2-240D-4053-92F4-88A83E22EA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667D64-0C13-45DD-8E9C-82F8244C7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1990</Words>
  <Characters>11347</Characters>
  <Application>Microsoft Office Word</Application>
  <DocSecurity>0</DocSecurity>
  <Lines>94</Lines>
  <Paragraphs>26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13311</CharactersWithSpaces>
  <SharedDoc>false</SharedDoc>
  <HLinks>
    <vt:vector size="18" baseType="variant">
      <vt:variant>
        <vt:i4>3801111</vt:i4>
      </vt:variant>
      <vt:variant>
        <vt:i4>6</vt:i4>
      </vt:variant>
      <vt:variant>
        <vt:i4>0</vt:i4>
      </vt:variant>
      <vt:variant>
        <vt:i4>5</vt:i4>
      </vt:variant>
      <vt:variant>
        <vt:lpwstr>mailto:rhaikou@hraf.gr</vt:lpwstr>
      </vt:variant>
      <vt:variant>
        <vt:lpwstr/>
      </vt:variant>
      <vt:variant>
        <vt:i4>5308536</vt:i4>
      </vt:variant>
      <vt:variant>
        <vt:i4>3</vt:i4>
      </vt:variant>
      <vt:variant>
        <vt:i4>0</vt:i4>
      </vt:variant>
      <vt:variant>
        <vt:i4>5</vt:i4>
      </vt:variant>
      <vt:variant>
        <vt:lpwstr>mailto:press@hraf.gr</vt:lpwstr>
      </vt:variant>
      <vt:variant>
        <vt:lpwstr/>
      </vt:variant>
      <vt:variant>
        <vt:i4>4849671</vt:i4>
      </vt:variant>
      <vt:variant>
        <vt:i4>0</vt:i4>
      </vt:variant>
      <vt:variant>
        <vt:i4>0</vt:i4>
      </vt:variant>
      <vt:variant>
        <vt:i4>5</vt:i4>
      </vt:variant>
      <vt:variant>
        <vt:lpwstr>http://www.hradf.com/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Achilleas Topas</cp:lastModifiedBy>
  <cp:revision>2</cp:revision>
  <cp:lastPrinted>2018-05-29T09:21:00Z</cp:lastPrinted>
  <dcterms:created xsi:type="dcterms:W3CDTF">2023-12-08T07:50:00Z</dcterms:created>
  <dcterms:modified xsi:type="dcterms:W3CDTF">2023-12-08T07:50:00Z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y fmtid="{D5CDD505-2E9C-101B-9397-08002B2CF9AE}" pid="3" name="MSIP_Label_4a1cc303-c827-4bc8-8096-cfbe6c892f41_Enabled">
    <vt:lpwstr>true</vt:lpwstr>
  </property>
  <property fmtid="{D5CDD505-2E9C-101B-9397-08002B2CF9AE}" pid="4" name="MSIP_Label_4a1cc303-c827-4bc8-8096-cfbe6c892f41_SetDate">
    <vt:lpwstr>2023-07-17T13:03:32Z</vt:lpwstr>
  </property>
  <property fmtid="{D5CDD505-2E9C-101B-9397-08002B2CF9AE}" pid="5" name="MSIP_Label_4a1cc303-c827-4bc8-8096-cfbe6c892f41_Method">
    <vt:lpwstr>Standard</vt:lpwstr>
  </property>
  <property fmtid="{D5CDD505-2E9C-101B-9397-08002B2CF9AE}" pid="6" name="MSIP_Label_4a1cc303-c827-4bc8-8096-cfbe6c892f41_Name">
    <vt:lpwstr>Public</vt:lpwstr>
  </property>
  <property fmtid="{D5CDD505-2E9C-101B-9397-08002B2CF9AE}" pid="7" name="MSIP_Label_4a1cc303-c827-4bc8-8096-cfbe6c892f41_SiteId">
    <vt:lpwstr>2b0fc7ca-0745-42be-85de-e8eb8234033e</vt:lpwstr>
  </property>
  <property fmtid="{D5CDD505-2E9C-101B-9397-08002B2CF9AE}" pid="8" name="MSIP_Label_4a1cc303-c827-4bc8-8096-cfbe6c892f41_ActionId">
    <vt:lpwstr>12fd0522-87f6-443a-bf2b-790cf2c5067e</vt:lpwstr>
  </property>
  <property fmtid="{D5CDD505-2E9C-101B-9397-08002B2CF9AE}" pid="9" name="MSIP_Label_4a1cc303-c827-4bc8-8096-cfbe6c892f41_ContentBits">
    <vt:lpwstr>0</vt:lpwstr>
  </property>
</Properties>
</file>