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871DE" w14:textId="77777777" w:rsidR="007723EF" w:rsidRPr="00993EFA" w:rsidRDefault="007723EF" w:rsidP="007723EF">
      <w:pPr>
        <w:pStyle w:val="Default"/>
        <w:spacing w:before="240" w:line="360" w:lineRule="auto"/>
        <w:jc w:val="both"/>
        <w:rPr>
          <w:rFonts w:asciiTheme="minorHAnsi" w:hAnsiTheme="minorHAnsi" w:cstheme="minorHAnsi"/>
          <w:sz w:val="22"/>
          <w:szCs w:val="22"/>
        </w:rPr>
      </w:pPr>
      <w:r w:rsidRPr="00993EFA">
        <w:rPr>
          <w:rFonts w:asciiTheme="minorHAnsi" w:hAnsiTheme="minorHAnsi" w:cstheme="minorHAnsi"/>
          <w:sz w:val="22"/>
          <w:szCs w:val="22"/>
        </w:rPr>
        <w:t>ΔΕΝ ΠΡΟΟΡΙΖΕΤΑΙ ΓΙΑ ΔΙΑΝΟΜΗ ΣΤΙΣ ΗΝΩΜΕΝΕΣ ΠΟΛΙΤΕΙΕΣ, ΤΟΝ ΚΑΝΑΔΑ, ΤΗΝ ΙΑΠΩΝΙΑ Η ΤΗΝ ΑΥΣΤΡΑΛΙΑ.</w:t>
      </w:r>
    </w:p>
    <w:p w14:paraId="20852BDD" w14:textId="77777777" w:rsidR="007723EF" w:rsidRPr="00993EFA" w:rsidRDefault="007723EF" w:rsidP="007723EF">
      <w:pPr>
        <w:pStyle w:val="Default"/>
        <w:spacing w:before="240" w:line="360" w:lineRule="auto"/>
        <w:jc w:val="both"/>
        <w:rPr>
          <w:rFonts w:asciiTheme="minorHAnsi" w:hAnsiTheme="minorHAnsi" w:cstheme="minorHAnsi"/>
          <w:sz w:val="22"/>
          <w:szCs w:val="22"/>
        </w:rPr>
      </w:pPr>
      <w:r w:rsidRPr="00993EFA">
        <w:rPr>
          <w:rFonts w:asciiTheme="minorHAnsi" w:hAnsiTheme="minorHAnsi" w:cstheme="minorHAnsi"/>
          <w:sz w:val="22"/>
          <w:szCs w:val="22"/>
        </w:rPr>
        <w:t>ΟΙ ΠΛΗΡΟΦΟΡΙΕΣ ΠΟΥ ΠΕΡΙΕΧΟΝΤΑΙ ΣΤΟ ΠΑΡΟΝ ΔΕΝ ΠΡΟΟΡΙΖΟΝΤΑΙ ΓΙΑ ΚΟΙΝΟΠΟΙΗΣΗ, ΔΗΜΟΣΙΕΥΣΗ Η ΔΙΑΝΟΜΗ, ΑΜΕΣΑ Η ΕΜΜΕΣΑ, ΣΕ ΟΠΟΙΑΔΗΠΟΤΕ ΕΝΝΟΜΗ ΤΑΞΗ ΣΤΗΝ ΟΠΟΙΑ Η ΔΙΑΝΟΜΗ, ΔΗΜΟΣΙΕΥΣΗ Η ΚΟΙΝΟΠΟΙΗΣΗ ΘΑ ΗΤΑΝ ΠΑΡΑΝΟΜΗ.</w:t>
      </w:r>
    </w:p>
    <w:p w14:paraId="2FF08B70" w14:textId="77777777" w:rsidR="007723EF" w:rsidRPr="00993EFA" w:rsidRDefault="007723EF" w:rsidP="007723EF">
      <w:pPr>
        <w:pStyle w:val="Default"/>
        <w:spacing w:before="240" w:line="360" w:lineRule="auto"/>
        <w:jc w:val="both"/>
        <w:rPr>
          <w:rFonts w:asciiTheme="minorHAnsi" w:hAnsiTheme="minorHAnsi" w:cstheme="minorHAnsi"/>
          <w:sz w:val="22"/>
          <w:szCs w:val="22"/>
        </w:rPr>
      </w:pPr>
      <w:r w:rsidRPr="00993EFA">
        <w:rPr>
          <w:rFonts w:asciiTheme="minorHAnsi" w:hAnsiTheme="minorHAnsi" w:cstheme="minorHAnsi"/>
          <w:sz w:val="22"/>
          <w:szCs w:val="22"/>
        </w:rPr>
        <w:t>Η ΠΑΡΟΥΣΑ ΑΝΑΚΟΙΝΩΣΗ ΔΕΝ ΑΠΟΤΕΛΕΙ ΠΡΟΣΦΟΡΑ ΠΩΛΗΣΗΣ ΟΥΤΕ ΠΡΟΣΚΛΗΣΗ ΓΙΑ ΠΡΟΣΦΟΡΑ ΑΓΟΡΑΣ, ΟΥΤΕ ΘΑ ΥΠΑΡΞΕΙ ΠΩΛΗΣΗ ΤΩΝ ΚΙΝΗΤΩΝ ΑΞΙΩΝ ΠΟΥ ΑΝΑΦΕΡΟΝΤΑΙ ΣΤΟ ΠΑΡΟΝ, ΣΕ Η ΕΝΤΟΣ ΟΠΟΙΑΣΔΗΠΟΤΕ ΕΝΝΟΜΗΣ ΤΑΞΗΣ ΟΠΟΥ ΜΙΑ ΤΕΤΟΙΑ ΠΡΟΣΦΟΡΑ, ΠΡΟΣΚΛΗΣΗ Η ΠΩΛΗΣΗ ΘΑ ΗΤΑΝ ΠΑΡΑΝΟΜΗ ΠΡΙΝ ΑΠΟ ΤΗΝ ΚΑΤΑΧΩΡΙΣΗ Η ΤΟΝ ΧΑΡΑΚΤΗΡΙΣΜΟ ΚΑΤΑ ΤΙΣ ΠΕΡΙ ΚΙΝΗΤΩΝ ΑΞΙΩΝ ΔΙΑΤΑΞΕΙΣ ΟΠΟΙΑΣΔΗΠΟΤΕ ΤΕΤΟΙΑΣ ΕΝΝΟΜΗΣ ΤΑΞΗΣ.</w:t>
      </w:r>
    </w:p>
    <w:p w14:paraId="3A220C79" w14:textId="77777777" w:rsidR="007723EF" w:rsidRPr="00993EFA" w:rsidRDefault="007723EF" w:rsidP="007723EF">
      <w:pPr>
        <w:pStyle w:val="Default"/>
        <w:spacing w:before="240" w:line="360" w:lineRule="auto"/>
        <w:jc w:val="right"/>
        <w:rPr>
          <w:rFonts w:asciiTheme="minorHAnsi" w:hAnsiTheme="minorHAnsi" w:cstheme="minorHAnsi"/>
          <w:sz w:val="22"/>
          <w:szCs w:val="22"/>
        </w:rPr>
      </w:pPr>
      <w:r w:rsidRPr="00993EFA">
        <w:rPr>
          <w:rFonts w:asciiTheme="minorHAnsi" w:hAnsiTheme="minorHAnsi" w:cstheme="minorHAnsi"/>
          <w:sz w:val="22"/>
          <w:szCs w:val="22"/>
        </w:rPr>
        <w:t>Αθήνα, 8 Δεκεμβρίου 2023</w:t>
      </w:r>
    </w:p>
    <w:p w14:paraId="47454E0E" w14:textId="77777777" w:rsidR="007723EF" w:rsidRPr="00993EFA" w:rsidRDefault="007723EF" w:rsidP="007723EF">
      <w:pPr>
        <w:pStyle w:val="Default"/>
        <w:spacing w:before="240" w:line="360" w:lineRule="auto"/>
        <w:jc w:val="center"/>
        <w:rPr>
          <w:rFonts w:asciiTheme="minorHAnsi" w:hAnsiTheme="minorHAnsi" w:cstheme="minorHAnsi"/>
          <w:b/>
          <w:bCs/>
          <w:sz w:val="22"/>
          <w:szCs w:val="22"/>
        </w:rPr>
      </w:pPr>
      <w:r w:rsidRPr="00993EFA">
        <w:rPr>
          <w:rFonts w:asciiTheme="minorHAnsi" w:hAnsiTheme="minorHAnsi" w:cstheme="minorHAnsi"/>
          <w:b/>
          <w:bCs/>
          <w:sz w:val="22"/>
          <w:szCs w:val="22"/>
        </w:rPr>
        <w:t>ΔΕΛΤΙΟ ΤΥΠΟΥ</w:t>
      </w:r>
    </w:p>
    <w:p w14:paraId="48D04F98" w14:textId="77777777" w:rsidR="007723EF" w:rsidRPr="00993EFA" w:rsidRDefault="007723EF" w:rsidP="007723EF">
      <w:pPr>
        <w:pStyle w:val="Default"/>
        <w:spacing w:before="240" w:line="360" w:lineRule="auto"/>
        <w:jc w:val="center"/>
        <w:rPr>
          <w:rFonts w:asciiTheme="minorHAnsi" w:hAnsiTheme="minorHAnsi" w:cstheme="minorHAnsi"/>
          <w:b/>
          <w:bCs/>
          <w:sz w:val="22"/>
          <w:szCs w:val="22"/>
        </w:rPr>
      </w:pPr>
      <w:r>
        <w:rPr>
          <w:rFonts w:asciiTheme="minorHAnsi" w:hAnsiTheme="minorHAnsi" w:cstheme="minorHAnsi"/>
          <w:b/>
          <w:bCs/>
          <w:sz w:val="22"/>
          <w:szCs w:val="22"/>
        </w:rPr>
        <w:t xml:space="preserve">ΤΑΙΠΕΔ: </w:t>
      </w:r>
      <w:r w:rsidRPr="00993EFA">
        <w:rPr>
          <w:rFonts w:asciiTheme="minorHAnsi" w:hAnsiTheme="minorHAnsi" w:cstheme="minorHAnsi"/>
          <w:b/>
          <w:bCs/>
          <w:sz w:val="22"/>
          <w:szCs w:val="22"/>
        </w:rPr>
        <w:t xml:space="preserve">Τιμολόγηση της κατάρτισης επιταχυνόμενου βιβλίου προσφορών για 33.619.870 υφιστάμενες μετοχές της </w:t>
      </w:r>
      <w:proofErr w:type="spellStart"/>
      <w:r w:rsidRPr="00993EFA">
        <w:rPr>
          <w:rFonts w:asciiTheme="minorHAnsi" w:hAnsiTheme="minorHAnsi" w:cstheme="minorHAnsi"/>
          <w:b/>
          <w:bCs/>
          <w:sz w:val="22"/>
          <w:szCs w:val="22"/>
        </w:rPr>
        <w:t>HELLENiQ</w:t>
      </w:r>
      <w:proofErr w:type="spellEnd"/>
      <w:r w:rsidRPr="00993EFA">
        <w:rPr>
          <w:rFonts w:asciiTheme="minorHAnsi" w:hAnsiTheme="minorHAnsi" w:cstheme="minorHAnsi"/>
          <w:b/>
          <w:bCs/>
          <w:sz w:val="22"/>
          <w:szCs w:val="22"/>
        </w:rPr>
        <w:t xml:space="preserve"> Energy Holdings Α.Ε.</w:t>
      </w:r>
    </w:p>
    <w:p w14:paraId="7A8A5242" w14:textId="2BFC85DE" w:rsidR="007723EF" w:rsidRPr="00993EFA" w:rsidRDefault="007723EF" w:rsidP="007723EF">
      <w:pPr>
        <w:spacing w:before="240" w:after="140" w:line="360" w:lineRule="auto"/>
        <w:jc w:val="both"/>
        <w:rPr>
          <w:rFonts w:asciiTheme="minorHAnsi" w:hAnsiTheme="minorHAnsi" w:cstheme="minorHAnsi"/>
          <w:color w:val="000000"/>
        </w:rPr>
      </w:pPr>
      <w:r w:rsidRPr="00993EFA">
        <w:rPr>
          <w:rFonts w:asciiTheme="minorHAnsi" w:hAnsiTheme="minorHAnsi" w:cstheme="minorHAnsi"/>
          <w:color w:val="000000"/>
        </w:rPr>
        <w:t>Σε συνέχεια της προηγούμενης ανακοίνωσης που πραγματοποιήθηκε στις 7.12.2023, το Ταμείο Αξιοποίησης Ιδιωτικής Περιουσίας του Δημοσίου Α.Ε. («</w:t>
      </w:r>
      <w:r w:rsidRPr="00993EFA">
        <w:rPr>
          <w:rFonts w:asciiTheme="minorHAnsi" w:hAnsiTheme="minorHAnsi" w:cstheme="minorHAnsi"/>
          <w:b/>
          <w:bCs/>
          <w:color w:val="000000"/>
        </w:rPr>
        <w:t>ΤΑΙΠΕΔ</w:t>
      </w:r>
      <w:r w:rsidRPr="00993EFA">
        <w:rPr>
          <w:rFonts w:asciiTheme="minorHAnsi" w:hAnsiTheme="minorHAnsi" w:cstheme="minorHAnsi"/>
          <w:color w:val="000000"/>
        </w:rPr>
        <w:t xml:space="preserve">») ανακοινώνει ότι το ΤΑΙΠΕΔ και η </w:t>
      </w:r>
      <w:proofErr w:type="spellStart"/>
      <w:r w:rsidRPr="00993EFA">
        <w:rPr>
          <w:rFonts w:asciiTheme="minorHAnsi" w:hAnsiTheme="minorHAnsi" w:cstheme="minorHAnsi"/>
          <w:color w:val="000000"/>
        </w:rPr>
        <w:t>Paneuropean</w:t>
      </w:r>
      <w:proofErr w:type="spellEnd"/>
      <w:r w:rsidRPr="00993EFA">
        <w:rPr>
          <w:rFonts w:asciiTheme="minorHAnsi" w:hAnsiTheme="minorHAnsi" w:cstheme="minorHAnsi"/>
          <w:color w:val="000000"/>
        </w:rPr>
        <w:t xml:space="preserve"> Oil and Industrial Holdings S.A. («</w:t>
      </w:r>
      <w:r w:rsidRPr="00993EFA">
        <w:rPr>
          <w:rFonts w:asciiTheme="minorHAnsi" w:hAnsiTheme="minorHAnsi" w:cstheme="minorHAnsi"/>
          <w:b/>
          <w:bCs/>
          <w:color w:val="000000"/>
        </w:rPr>
        <w:t>POIH</w:t>
      </w:r>
      <w:r w:rsidRPr="00993EFA">
        <w:rPr>
          <w:rFonts w:asciiTheme="minorHAnsi" w:hAnsiTheme="minorHAnsi" w:cstheme="minorHAnsi"/>
          <w:color w:val="000000"/>
        </w:rPr>
        <w:t>» και από κοινού με το ΤΑΙΠΕΔ, οι «</w:t>
      </w:r>
      <w:r w:rsidRPr="00993EFA">
        <w:rPr>
          <w:rFonts w:asciiTheme="minorHAnsi" w:hAnsiTheme="minorHAnsi" w:cstheme="minorHAnsi"/>
          <w:b/>
          <w:bCs/>
          <w:color w:val="000000"/>
        </w:rPr>
        <w:t>Πωλητές Μέτοχοι</w:t>
      </w:r>
      <w:r w:rsidRPr="00993EFA">
        <w:rPr>
          <w:rFonts w:asciiTheme="minorHAnsi" w:hAnsiTheme="minorHAnsi" w:cstheme="minorHAnsi"/>
          <w:color w:val="000000"/>
        </w:rPr>
        <w:t>») συμφώνησαν να πωλήσουν 33.619.870 υφιστάμενες κοινές μετοχές (οι «</w:t>
      </w:r>
      <w:r w:rsidRPr="00993EFA">
        <w:rPr>
          <w:rFonts w:asciiTheme="minorHAnsi" w:hAnsiTheme="minorHAnsi" w:cstheme="minorHAnsi"/>
          <w:b/>
          <w:bCs/>
          <w:color w:val="000000"/>
        </w:rPr>
        <w:t>Μετοχές</w:t>
      </w:r>
      <w:r w:rsidRPr="00993EFA">
        <w:rPr>
          <w:rFonts w:asciiTheme="minorHAnsi" w:hAnsiTheme="minorHAnsi" w:cstheme="minorHAnsi"/>
          <w:color w:val="000000"/>
        </w:rPr>
        <w:t xml:space="preserve">») της </w:t>
      </w:r>
      <w:proofErr w:type="spellStart"/>
      <w:r w:rsidRPr="00993EFA">
        <w:rPr>
          <w:rFonts w:asciiTheme="minorHAnsi" w:hAnsiTheme="minorHAnsi" w:cstheme="minorHAnsi"/>
          <w:color w:val="000000"/>
        </w:rPr>
        <w:t>HELLENiQ</w:t>
      </w:r>
      <w:proofErr w:type="spellEnd"/>
      <w:r w:rsidRPr="00993EFA">
        <w:rPr>
          <w:rFonts w:asciiTheme="minorHAnsi" w:hAnsiTheme="minorHAnsi" w:cstheme="minorHAnsi"/>
          <w:color w:val="000000"/>
        </w:rPr>
        <w:t xml:space="preserve"> Energy Holdings S.A. («</w:t>
      </w:r>
      <w:proofErr w:type="spellStart"/>
      <w:r w:rsidRPr="00993EFA">
        <w:rPr>
          <w:rFonts w:asciiTheme="minorHAnsi" w:hAnsiTheme="minorHAnsi" w:cstheme="minorHAnsi"/>
          <w:b/>
          <w:bCs/>
          <w:color w:val="000000"/>
        </w:rPr>
        <w:t>HELLENiQ</w:t>
      </w:r>
      <w:proofErr w:type="spellEnd"/>
      <w:r w:rsidRPr="00993EFA">
        <w:rPr>
          <w:rFonts w:asciiTheme="minorHAnsi" w:hAnsiTheme="minorHAnsi" w:cstheme="minorHAnsi"/>
          <w:color w:val="000000"/>
        </w:rPr>
        <w:t>» ή η «</w:t>
      </w:r>
      <w:r w:rsidRPr="00993EFA">
        <w:rPr>
          <w:rFonts w:asciiTheme="minorHAnsi" w:hAnsiTheme="minorHAnsi" w:cstheme="minorHAnsi"/>
          <w:b/>
          <w:bCs/>
          <w:color w:val="000000"/>
        </w:rPr>
        <w:t>Εταιρεία</w:t>
      </w:r>
      <w:r w:rsidRPr="00993EFA">
        <w:rPr>
          <w:rFonts w:asciiTheme="minorHAnsi" w:hAnsiTheme="minorHAnsi" w:cstheme="minorHAnsi"/>
          <w:color w:val="000000"/>
        </w:rPr>
        <w:t xml:space="preserve">»), που αντιστοιχούν στο 11.0% του υφιστάμενου κοινού μετοχικού κεφαλαίου της </w:t>
      </w:r>
      <w:proofErr w:type="spellStart"/>
      <w:r w:rsidRPr="00993EFA">
        <w:rPr>
          <w:rFonts w:asciiTheme="minorHAnsi" w:hAnsiTheme="minorHAnsi" w:cstheme="minorHAnsi"/>
          <w:color w:val="000000"/>
        </w:rPr>
        <w:t>HELLENiQ</w:t>
      </w:r>
      <w:proofErr w:type="spellEnd"/>
      <w:r w:rsidRPr="00993EFA">
        <w:rPr>
          <w:rFonts w:asciiTheme="minorHAnsi" w:hAnsiTheme="minorHAnsi" w:cstheme="minorHAnsi"/>
          <w:color w:val="000000"/>
        </w:rPr>
        <w:t xml:space="preserve"> στην τιμή των </w:t>
      </w:r>
      <w:r w:rsidR="00213D9F" w:rsidRPr="00213D9F">
        <w:rPr>
          <w:rFonts w:asciiTheme="minorHAnsi" w:hAnsiTheme="minorHAnsi" w:cstheme="minorHAnsi"/>
          <w:color w:val="000000"/>
        </w:rPr>
        <w:t>7,00</w:t>
      </w:r>
      <w:r w:rsidRPr="00993EFA">
        <w:rPr>
          <w:rFonts w:asciiTheme="minorHAnsi" w:hAnsiTheme="minorHAnsi" w:cstheme="minorHAnsi"/>
          <w:color w:val="000000"/>
        </w:rPr>
        <w:t xml:space="preserve"> ευρώ ανά Μετοχή, μέσω διαδικασίας κατάρτισης επιταχυνόμενου βιβλίου προσφορών, </w:t>
      </w:r>
      <w:r w:rsidRPr="00993EFA">
        <w:rPr>
          <w:rFonts w:asciiTheme="minorHAnsi" w:hAnsiTheme="minorHAnsi" w:cstheme="minorHAnsi"/>
          <w:shd w:val="clear" w:color="auto" w:fill="FFFFFF"/>
        </w:rPr>
        <w:t>για την οποία δεν απαιτείτο</w:t>
      </w:r>
      <w:r w:rsidRPr="00993EFA">
        <w:rPr>
          <w:rFonts w:asciiTheme="minorHAnsi" w:hAnsiTheme="minorHAnsi" w:cstheme="minorHAnsi"/>
        </w:rPr>
        <w:t xml:space="preserve"> δημοσίευση ενημερωτικού δελτίου</w:t>
      </w:r>
      <w:r w:rsidRPr="00993EFA">
        <w:rPr>
          <w:rFonts w:asciiTheme="minorHAnsi" w:hAnsiTheme="minorHAnsi" w:cstheme="minorHAnsi"/>
          <w:b/>
          <w:bCs/>
          <w:color w:val="000000"/>
        </w:rPr>
        <w:t xml:space="preserve"> </w:t>
      </w:r>
      <w:r w:rsidRPr="00993EFA">
        <w:rPr>
          <w:rFonts w:asciiTheme="minorHAnsi" w:hAnsiTheme="minorHAnsi" w:cstheme="minorHAnsi"/>
          <w:color w:val="000000"/>
        </w:rPr>
        <w:t>(η «</w:t>
      </w:r>
      <w:r w:rsidRPr="00993EFA">
        <w:rPr>
          <w:rFonts w:asciiTheme="minorHAnsi" w:hAnsiTheme="minorHAnsi" w:cstheme="minorHAnsi"/>
          <w:b/>
          <w:bCs/>
          <w:color w:val="000000"/>
        </w:rPr>
        <w:t>Συναλλαγή</w:t>
      </w:r>
      <w:r w:rsidRPr="00993EFA">
        <w:rPr>
          <w:rFonts w:asciiTheme="minorHAnsi" w:hAnsiTheme="minorHAnsi" w:cstheme="minorHAnsi"/>
          <w:color w:val="000000"/>
        </w:rPr>
        <w:t xml:space="preserve">»). Το ΤΑΙΠΕΔ </w:t>
      </w:r>
      <w:r w:rsidRPr="00993EFA">
        <w:rPr>
          <w:rFonts w:asciiTheme="minorHAnsi" w:hAnsiTheme="minorHAnsi" w:cstheme="minorHAnsi"/>
        </w:rPr>
        <w:t>θα διαθέσει 1</w:t>
      </w:r>
      <w:r w:rsidR="00A04027">
        <w:rPr>
          <w:rFonts w:asciiTheme="minorHAnsi" w:hAnsiTheme="minorHAnsi" w:cstheme="minorHAnsi"/>
        </w:rPr>
        <w:t>3</w:t>
      </w:r>
      <w:r w:rsidRPr="00993EFA">
        <w:rPr>
          <w:rFonts w:asciiTheme="minorHAnsi" w:hAnsiTheme="minorHAnsi" w:cstheme="minorHAnsi"/>
        </w:rPr>
        <w:t xml:space="preserve">.128.317 Μετοχές στο πλαίσιο της Συναλλαγής και, μετά την ολοκλήρωση της Συναλλαγής, θα κατέχει 31.2% του μετοχικού κεφαλαίου της </w:t>
      </w:r>
      <w:proofErr w:type="spellStart"/>
      <w:r w:rsidRPr="00993EFA">
        <w:rPr>
          <w:rFonts w:asciiTheme="minorHAnsi" w:hAnsiTheme="minorHAnsi" w:cstheme="minorHAnsi"/>
        </w:rPr>
        <w:t>HELLENiQ</w:t>
      </w:r>
      <w:proofErr w:type="spellEnd"/>
      <w:r w:rsidRPr="00993EFA">
        <w:rPr>
          <w:rFonts w:asciiTheme="minorHAnsi" w:hAnsiTheme="minorHAnsi" w:cstheme="minorHAnsi"/>
        </w:rPr>
        <w:t xml:space="preserve">, και η POIH θα διαθέσει 20.491.553 Μετοχές στο πλαίσιο της Συναλλαγής και, μετά την ολοκλήρωση της Συναλλαγής, θα κατέχει 40.4% του μετοχικού κεφαλαίου της </w:t>
      </w:r>
      <w:proofErr w:type="spellStart"/>
      <w:r w:rsidRPr="00993EFA">
        <w:rPr>
          <w:rFonts w:asciiTheme="minorHAnsi" w:hAnsiTheme="minorHAnsi" w:cstheme="minorHAnsi"/>
        </w:rPr>
        <w:t>HELLENiQ</w:t>
      </w:r>
      <w:proofErr w:type="spellEnd"/>
      <w:r w:rsidRPr="00993EFA">
        <w:rPr>
          <w:rFonts w:asciiTheme="minorHAnsi" w:hAnsiTheme="minorHAnsi" w:cstheme="minorHAnsi"/>
        </w:rPr>
        <w:t xml:space="preserve">. </w:t>
      </w:r>
    </w:p>
    <w:p w14:paraId="2782983A" w14:textId="77777777" w:rsidR="007723EF" w:rsidRPr="00993EFA" w:rsidRDefault="007723EF" w:rsidP="007723EF">
      <w:pPr>
        <w:spacing w:before="240" w:after="140" w:line="360" w:lineRule="auto"/>
        <w:jc w:val="both"/>
        <w:rPr>
          <w:rFonts w:asciiTheme="minorHAnsi" w:hAnsiTheme="minorHAnsi" w:cstheme="minorHAnsi"/>
          <w:color w:val="000000"/>
        </w:rPr>
      </w:pPr>
      <w:r w:rsidRPr="00993EFA">
        <w:rPr>
          <w:rFonts w:asciiTheme="minorHAnsi" w:hAnsiTheme="minorHAnsi" w:cstheme="minorHAnsi"/>
          <w:color w:val="000000"/>
        </w:rPr>
        <w:t xml:space="preserve">Η ολοκλήρωση της Συναλλαγής αναμένεται να λάβει χώρα στις 12.12.2023, εφόσον ικανοποιηθούν ή καταργηθούν ορισμένες συνήθεις αιρέσεις. </w:t>
      </w:r>
    </w:p>
    <w:p w14:paraId="5816B26D" w14:textId="77777777" w:rsidR="007723EF" w:rsidRPr="00993EFA" w:rsidRDefault="007723EF" w:rsidP="007723EF">
      <w:pPr>
        <w:spacing w:before="240" w:after="140" w:line="360" w:lineRule="auto"/>
        <w:jc w:val="both"/>
        <w:rPr>
          <w:rFonts w:asciiTheme="minorHAnsi" w:hAnsiTheme="minorHAnsi" w:cstheme="minorHAnsi"/>
          <w:color w:val="000000"/>
        </w:rPr>
      </w:pPr>
      <w:r w:rsidRPr="00993EFA">
        <w:rPr>
          <w:rFonts w:asciiTheme="minorHAnsi" w:hAnsiTheme="minorHAnsi" w:cstheme="minorHAnsi"/>
          <w:color w:val="000000"/>
        </w:rPr>
        <w:lastRenderedPageBreak/>
        <w:t xml:space="preserve">Η </w:t>
      </w:r>
      <w:proofErr w:type="spellStart"/>
      <w:r w:rsidRPr="00993EFA">
        <w:rPr>
          <w:rFonts w:asciiTheme="minorHAnsi" w:hAnsiTheme="minorHAnsi" w:cstheme="minorHAnsi"/>
          <w:color w:val="000000"/>
        </w:rPr>
        <w:t>HELLENiQ</w:t>
      </w:r>
      <w:proofErr w:type="spellEnd"/>
      <w:r w:rsidRPr="00993EFA">
        <w:rPr>
          <w:rFonts w:asciiTheme="minorHAnsi" w:hAnsiTheme="minorHAnsi" w:cstheme="minorHAnsi"/>
          <w:color w:val="000000"/>
        </w:rPr>
        <w:t xml:space="preserve"> δεν θα έχει έσοδα από τη Συναλλαγή. </w:t>
      </w:r>
    </w:p>
    <w:p w14:paraId="79C7D2C4" w14:textId="77777777" w:rsidR="007723EF" w:rsidRPr="00993EFA" w:rsidRDefault="007723EF" w:rsidP="007723EF">
      <w:pPr>
        <w:spacing w:before="240" w:after="140" w:line="360" w:lineRule="auto"/>
        <w:jc w:val="both"/>
        <w:rPr>
          <w:rFonts w:asciiTheme="minorHAnsi" w:hAnsiTheme="minorHAnsi" w:cstheme="minorHAnsi"/>
          <w:color w:val="000000"/>
        </w:rPr>
      </w:pPr>
      <w:r w:rsidRPr="00993EFA">
        <w:rPr>
          <w:rFonts w:asciiTheme="minorHAnsi" w:hAnsiTheme="minorHAnsi" w:cstheme="minorHAnsi"/>
          <w:color w:val="000000"/>
        </w:rPr>
        <w:t xml:space="preserve">Στο πλαίσιο της Συναλλαγής, οι Πωλητές Μέτοχοι συμφώνησαν με τους Κοινούς Διεθνείς Συντονιστές να </w:t>
      </w:r>
      <w:proofErr w:type="spellStart"/>
      <w:r w:rsidRPr="00993EFA">
        <w:rPr>
          <w:rFonts w:asciiTheme="minorHAnsi" w:hAnsiTheme="minorHAnsi" w:cstheme="minorHAnsi"/>
          <w:color w:val="000000"/>
        </w:rPr>
        <w:t>διακρατήσουν</w:t>
      </w:r>
      <w:proofErr w:type="spellEnd"/>
      <w:r w:rsidRPr="00993EFA">
        <w:rPr>
          <w:rFonts w:asciiTheme="minorHAnsi" w:hAnsiTheme="minorHAnsi" w:cstheme="minorHAnsi"/>
          <w:color w:val="000000"/>
        </w:rPr>
        <w:t xml:space="preserve"> (</w:t>
      </w:r>
      <w:r w:rsidRPr="00993EFA">
        <w:rPr>
          <w:rFonts w:asciiTheme="minorHAnsi" w:hAnsiTheme="minorHAnsi" w:cstheme="minorHAnsi"/>
          <w:color w:val="000000"/>
          <w:lang w:val="en-US"/>
        </w:rPr>
        <w:t>lock</w:t>
      </w:r>
      <w:r w:rsidRPr="00993EFA">
        <w:rPr>
          <w:rFonts w:asciiTheme="minorHAnsi" w:hAnsiTheme="minorHAnsi" w:cstheme="minorHAnsi"/>
          <w:color w:val="000000"/>
        </w:rPr>
        <w:t xml:space="preserve"> </w:t>
      </w:r>
      <w:r w:rsidRPr="00993EFA">
        <w:rPr>
          <w:rFonts w:asciiTheme="minorHAnsi" w:hAnsiTheme="minorHAnsi" w:cstheme="minorHAnsi"/>
          <w:color w:val="000000"/>
          <w:lang w:val="en-US"/>
        </w:rPr>
        <w:t>up</w:t>
      </w:r>
      <w:r w:rsidRPr="00993EFA">
        <w:rPr>
          <w:rFonts w:asciiTheme="minorHAnsi" w:hAnsiTheme="minorHAnsi" w:cstheme="minorHAnsi"/>
          <w:color w:val="000000"/>
        </w:rPr>
        <w:t>) τις υπόλοιπες μετοχές τους στην Εταιρεία για περίοδο 180 ημερών από την ολοκλήρωση της Συναλλαγής, με την επιφύλαξη ορισμένων ειδικών ρυθμίσεων (</w:t>
      </w:r>
      <w:r w:rsidRPr="00993EFA">
        <w:rPr>
          <w:rFonts w:asciiTheme="minorHAnsi" w:hAnsiTheme="minorHAnsi" w:cstheme="minorHAnsi"/>
          <w:color w:val="000000"/>
          <w:lang w:val="en-US"/>
        </w:rPr>
        <w:t>carve</w:t>
      </w:r>
      <w:r w:rsidRPr="00993EFA">
        <w:rPr>
          <w:rFonts w:asciiTheme="minorHAnsi" w:hAnsiTheme="minorHAnsi" w:cstheme="minorHAnsi"/>
          <w:color w:val="000000"/>
        </w:rPr>
        <w:t>-</w:t>
      </w:r>
      <w:r w:rsidRPr="00993EFA">
        <w:rPr>
          <w:rFonts w:asciiTheme="minorHAnsi" w:hAnsiTheme="minorHAnsi" w:cstheme="minorHAnsi"/>
          <w:color w:val="000000"/>
          <w:lang w:val="en-US"/>
        </w:rPr>
        <w:t>outs</w:t>
      </w:r>
      <w:r w:rsidRPr="00993EFA">
        <w:rPr>
          <w:rFonts w:asciiTheme="minorHAnsi" w:hAnsiTheme="minorHAnsi" w:cstheme="minorHAnsi"/>
          <w:color w:val="000000"/>
        </w:rPr>
        <w:t xml:space="preserve">) και εξαιρέσεων. </w:t>
      </w:r>
    </w:p>
    <w:p w14:paraId="01ED9AE0" w14:textId="77777777" w:rsidR="007723EF" w:rsidRPr="00993EFA" w:rsidRDefault="007723EF" w:rsidP="007723EF">
      <w:pPr>
        <w:spacing w:before="240" w:after="140" w:line="360" w:lineRule="auto"/>
        <w:jc w:val="both"/>
        <w:rPr>
          <w:rFonts w:asciiTheme="minorHAnsi" w:hAnsiTheme="minorHAnsi" w:cstheme="minorHAnsi"/>
          <w:color w:val="000000"/>
        </w:rPr>
      </w:pPr>
      <w:r w:rsidRPr="00993EFA">
        <w:rPr>
          <w:rFonts w:asciiTheme="minorHAnsi" w:hAnsiTheme="minorHAnsi" w:cstheme="minorHAnsi"/>
          <w:color w:val="000000"/>
        </w:rPr>
        <w:t xml:space="preserve">Η </w:t>
      </w:r>
      <w:proofErr w:type="spellStart"/>
      <w:r w:rsidRPr="00993EFA">
        <w:rPr>
          <w:rFonts w:asciiTheme="minorHAnsi" w:hAnsiTheme="minorHAnsi" w:cstheme="minorHAnsi"/>
          <w:color w:val="000000"/>
        </w:rPr>
        <w:t>Goldman</w:t>
      </w:r>
      <w:proofErr w:type="spellEnd"/>
      <w:r w:rsidRPr="00993EFA">
        <w:rPr>
          <w:rFonts w:asciiTheme="minorHAnsi" w:hAnsiTheme="minorHAnsi" w:cstheme="minorHAnsi"/>
          <w:color w:val="000000"/>
        </w:rPr>
        <w:t xml:space="preserve"> </w:t>
      </w:r>
      <w:proofErr w:type="spellStart"/>
      <w:r w:rsidRPr="00993EFA">
        <w:rPr>
          <w:rFonts w:asciiTheme="minorHAnsi" w:hAnsiTheme="minorHAnsi" w:cstheme="minorHAnsi"/>
          <w:color w:val="000000"/>
        </w:rPr>
        <w:t>Sachs</w:t>
      </w:r>
      <w:proofErr w:type="spellEnd"/>
      <w:r w:rsidRPr="00993EFA">
        <w:rPr>
          <w:rFonts w:asciiTheme="minorHAnsi" w:hAnsiTheme="minorHAnsi" w:cstheme="minorHAnsi"/>
          <w:color w:val="000000"/>
        </w:rPr>
        <w:t xml:space="preserve"> Bank Europe SE («</w:t>
      </w:r>
      <w:proofErr w:type="spellStart"/>
      <w:r w:rsidRPr="00993EFA">
        <w:rPr>
          <w:rFonts w:asciiTheme="minorHAnsi" w:hAnsiTheme="minorHAnsi" w:cstheme="minorHAnsi"/>
          <w:b/>
          <w:bCs/>
          <w:color w:val="000000"/>
        </w:rPr>
        <w:t>Goldman</w:t>
      </w:r>
      <w:proofErr w:type="spellEnd"/>
      <w:r w:rsidRPr="00993EFA">
        <w:rPr>
          <w:rFonts w:asciiTheme="minorHAnsi" w:hAnsiTheme="minorHAnsi" w:cstheme="minorHAnsi"/>
          <w:b/>
          <w:bCs/>
          <w:color w:val="000000"/>
        </w:rPr>
        <w:t xml:space="preserve"> </w:t>
      </w:r>
      <w:proofErr w:type="spellStart"/>
      <w:r w:rsidRPr="00993EFA">
        <w:rPr>
          <w:rFonts w:asciiTheme="minorHAnsi" w:hAnsiTheme="minorHAnsi" w:cstheme="minorHAnsi"/>
          <w:b/>
          <w:bCs/>
          <w:color w:val="000000"/>
        </w:rPr>
        <w:t>Sachs</w:t>
      </w:r>
      <w:proofErr w:type="spellEnd"/>
      <w:r w:rsidRPr="00993EFA">
        <w:rPr>
          <w:rFonts w:asciiTheme="minorHAnsi" w:hAnsiTheme="minorHAnsi" w:cstheme="minorHAnsi"/>
          <w:color w:val="000000"/>
        </w:rPr>
        <w:t xml:space="preserve">») και η J.P. </w:t>
      </w:r>
      <w:proofErr w:type="spellStart"/>
      <w:r w:rsidRPr="00993EFA">
        <w:rPr>
          <w:rFonts w:asciiTheme="minorHAnsi" w:hAnsiTheme="minorHAnsi" w:cstheme="minorHAnsi"/>
          <w:color w:val="000000"/>
        </w:rPr>
        <w:t>Morgan</w:t>
      </w:r>
      <w:proofErr w:type="spellEnd"/>
      <w:r w:rsidRPr="00993EFA">
        <w:rPr>
          <w:rFonts w:asciiTheme="minorHAnsi" w:hAnsiTheme="minorHAnsi" w:cstheme="minorHAnsi"/>
          <w:color w:val="000000"/>
        </w:rPr>
        <w:t xml:space="preserve"> SE («J</w:t>
      </w:r>
      <w:r w:rsidRPr="00993EFA">
        <w:rPr>
          <w:rFonts w:asciiTheme="minorHAnsi" w:hAnsiTheme="minorHAnsi" w:cstheme="minorHAnsi"/>
          <w:b/>
          <w:bCs/>
          <w:color w:val="000000"/>
        </w:rPr>
        <w:t xml:space="preserve">.P. </w:t>
      </w:r>
      <w:proofErr w:type="spellStart"/>
      <w:r w:rsidRPr="00993EFA">
        <w:rPr>
          <w:rFonts w:asciiTheme="minorHAnsi" w:hAnsiTheme="minorHAnsi" w:cstheme="minorHAnsi"/>
          <w:b/>
          <w:bCs/>
          <w:color w:val="000000"/>
        </w:rPr>
        <w:t>Morgan</w:t>
      </w:r>
      <w:proofErr w:type="spellEnd"/>
      <w:r w:rsidRPr="00993EFA">
        <w:rPr>
          <w:rFonts w:asciiTheme="minorHAnsi" w:hAnsiTheme="minorHAnsi" w:cstheme="minorHAnsi"/>
          <w:color w:val="000000"/>
        </w:rPr>
        <w:t xml:space="preserve">» και, μαζί με την </w:t>
      </w:r>
      <w:proofErr w:type="spellStart"/>
      <w:r w:rsidRPr="00993EFA">
        <w:rPr>
          <w:rFonts w:asciiTheme="minorHAnsi" w:hAnsiTheme="minorHAnsi" w:cstheme="minorHAnsi"/>
          <w:color w:val="000000"/>
        </w:rPr>
        <w:t>Goldman</w:t>
      </w:r>
      <w:proofErr w:type="spellEnd"/>
      <w:r w:rsidRPr="00993EFA">
        <w:rPr>
          <w:rFonts w:asciiTheme="minorHAnsi" w:hAnsiTheme="minorHAnsi" w:cstheme="minorHAnsi"/>
          <w:color w:val="000000"/>
        </w:rPr>
        <w:t xml:space="preserve"> </w:t>
      </w:r>
      <w:proofErr w:type="spellStart"/>
      <w:r w:rsidRPr="00993EFA">
        <w:rPr>
          <w:rFonts w:asciiTheme="minorHAnsi" w:hAnsiTheme="minorHAnsi" w:cstheme="minorHAnsi"/>
          <w:color w:val="000000"/>
        </w:rPr>
        <w:t>Sachs</w:t>
      </w:r>
      <w:proofErr w:type="spellEnd"/>
      <w:r w:rsidRPr="00993EFA">
        <w:rPr>
          <w:rFonts w:asciiTheme="minorHAnsi" w:hAnsiTheme="minorHAnsi" w:cstheme="minorHAnsi"/>
          <w:color w:val="000000"/>
        </w:rPr>
        <w:t>, οι «</w:t>
      </w:r>
      <w:r w:rsidRPr="00993EFA">
        <w:rPr>
          <w:rFonts w:asciiTheme="minorHAnsi" w:hAnsiTheme="minorHAnsi" w:cstheme="minorHAnsi"/>
          <w:b/>
          <w:bCs/>
          <w:color w:val="000000"/>
        </w:rPr>
        <w:t>Κοινοί Διεθνείς Συντονιστές</w:t>
      </w:r>
      <w:r w:rsidRPr="00993EFA">
        <w:rPr>
          <w:rFonts w:asciiTheme="minorHAnsi" w:hAnsiTheme="minorHAnsi" w:cstheme="minorHAnsi"/>
          <w:color w:val="000000"/>
        </w:rPr>
        <w:t xml:space="preserve">») ενήργησαν ως Κοινοί Διεθνείς Συντονιστές σε σχέση με τη Συναλλαγή. </w:t>
      </w:r>
    </w:p>
    <w:p w14:paraId="135B259F" w14:textId="14609B31" w:rsidR="007723EF" w:rsidRPr="00993EFA" w:rsidRDefault="007723EF" w:rsidP="007723EF">
      <w:pPr>
        <w:spacing w:before="240" w:after="140" w:line="360" w:lineRule="auto"/>
        <w:jc w:val="both"/>
        <w:rPr>
          <w:rFonts w:asciiTheme="minorHAnsi" w:hAnsiTheme="minorHAnsi" w:cstheme="minorHAnsi"/>
          <w:color w:val="000000"/>
        </w:rPr>
      </w:pPr>
      <w:r w:rsidRPr="00993EFA">
        <w:rPr>
          <w:rFonts w:asciiTheme="minorHAnsi" w:hAnsiTheme="minorHAnsi" w:cstheme="minorHAnsi"/>
          <w:color w:val="000000"/>
        </w:rPr>
        <w:t xml:space="preserve">Η </w:t>
      </w:r>
      <w:proofErr w:type="spellStart"/>
      <w:r w:rsidRPr="00993EFA">
        <w:rPr>
          <w:rFonts w:asciiTheme="minorHAnsi" w:hAnsiTheme="minorHAnsi" w:cstheme="minorHAnsi"/>
          <w:color w:val="000000"/>
        </w:rPr>
        <w:t>Rothschild</w:t>
      </w:r>
      <w:proofErr w:type="spellEnd"/>
      <w:r w:rsidRPr="00993EFA">
        <w:rPr>
          <w:rFonts w:asciiTheme="minorHAnsi" w:hAnsiTheme="minorHAnsi" w:cstheme="minorHAnsi"/>
          <w:color w:val="000000"/>
        </w:rPr>
        <w:t xml:space="preserve"> &amp; Co ενήργησε ως σύμβουλος διαδικασίας για τους σκοπούς του άρθρου 3 παράγραφος 3 τρίτο εδάφιο του Ν. 3986/2011 και η </w:t>
      </w:r>
      <w:proofErr w:type="spellStart"/>
      <w:r w:rsidRPr="00993EFA">
        <w:rPr>
          <w:rFonts w:asciiTheme="minorHAnsi" w:hAnsiTheme="minorHAnsi" w:cstheme="minorHAnsi"/>
          <w:color w:val="000000"/>
        </w:rPr>
        <w:t>Freshfields</w:t>
      </w:r>
      <w:proofErr w:type="spellEnd"/>
      <w:r w:rsidRPr="00993EFA">
        <w:rPr>
          <w:rFonts w:asciiTheme="minorHAnsi" w:hAnsiTheme="minorHAnsi" w:cstheme="minorHAnsi"/>
          <w:color w:val="000000"/>
        </w:rPr>
        <w:t xml:space="preserve"> </w:t>
      </w:r>
      <w:proofErr w:type="spellStart"/>
      <w:r w:rsidRPr="00993EFA">
        <w:rPr>
          <w:rFonts w:asciiTheme="minorHAnsi" w:hAnsiTheme="minorHAnsi" w:cstheme="minorHAnsi"/>
          <w:color w:val="000000"/>
        </w:rPr>
        <w:t>Bruckhaus</w:t>
      </w:r>
      <w:proofErr w:type="spellEnd"/>
      <w:r w:rsidRPr="00993EFA">
        <w:rPr>
          <w:rFonts w:asciiTheme="minorHAnsi" w:hAnsiTheme="minorHAnsi" w:cstheme="minorHAnsi"/>
          <w:color w:val="000000"/>
        </w:rPr>
        <w:t xml:space="preserve"> </w:t>
      </w:r>
      <w:proofErr w:type="spellStart"/>
      <w:r w:rsidRPr="00993EFA">
        <w:rPr>
          <w:rFonts w:asciiTheme="minorHAnsi" w:hAnsiTheme="minorHAnsi" w:cstheme="minorHAnsi"/>
          <w:color w:val="000000"/>
        </w:rPr>
        <w:t>Deringer</w:t>
      </w:r>
      <w:proofErr w:type="spellEnd"/>
      <w:r w:rsidRPr="00993EFA">
        <w:rPr>
          <w:rFonts w:asciiTheme="minorHAnsi" w:hAnsiTheme="minorHAnsi" w:cstheme="minorHAnsi"/>
          <w:color w:val="000000"/>
        </w:rPr>
        <w:t xml:space="preserve"> LLP και η Δικηγορική Εταιρεία Καρατζά &amp; Συνεργάτες ενήργησαν ως εξωτερικοί νομικοί σύμβουλοι του ΤΑΙΠΕΔ και της </w:t>
      </w:r>
      <w:r w:rsidRPr="00993EFA">
        <w:rPr>
          <w:rFonts w:asciiTheme="minorHAnsi" w:hAnsiTheme="minorHAnsi" w:cstheme="minorHAnsi"/>
          <w:color w:val="000000"/>
          <w:lang w:val="en-US"/>
        </w:rPr>
        <w:t>POIH</w:t>
      </w:r>
      <w:r w:rsidRPr="00993EFA">
        <w:rPr>
          <w:rFonts w:asciiTheme="minorHAnsi" w:hAnsiTheme="minorHAnsi" w:cstheme="minorHAnsi"/>
          <w:color w:val="000000"/>
        </w:rPr>
        <w:t>.</w:t>
      </w:r>
    </w:p>
    <w:p w14:paraId="2ABEF89E" w14:textId="77777777" w:rsidR="007723EF" w:rsidRPr="00993EFA" w:rsidRDefault="007723EF" w:rsidP="007723EF">
      <w:pPr>
        <w:spacing w:before="240" w:after="140" w:line="360" w:lineRule="auto"/>
        <w:jc w:val="both"/>
        <w:rPr>
          <w:rFonts w:asciiTheme="minorHAnsi" w:hAnsiTheme="minorHAnsi" w:cstheme="minorHAnsi"/>
          <w:bCs/>
          <w:lang w:eastAsia="en-GB"/>
        </w:rPr>
      </w:pPr>
      <w:r w:rsidRPr="00993EFA">
        <w:rPr>
          <w:rFonts w:asciiTheme="minorHAnsi" w:hAnsiTheme="minorHAnsi" w:cstheme="minorHAnsi"/>
          <w:b/>
        </w:rPr>
        <w:t>Σημαντική σημείωση</w:t>
      </w:r>
    </w:p>
    <w:p w14:paraId="7B54842F" w14:textId="77777777" w:rsidR="007723EF" w:rsidRPr="00993EFA" w:rsidRDefault="007723EF" w:rsidP="007723EF">
      <w:pPr>
        <w:spacing w:before="240" w:after="140" w:line="240" w:lineRule="auto"/>
        <w:jc w:val="both"/>
        <w:rPr>
          <w:rFonts w:asciiTheme="minorHAnsi" w:hAnsiTheme="minorHAnsi" w:cstheme="minorHAnsi"/>
        </w:rPr>
      </w:pPr>
      <w:r w:rsidRPr="00993EFA">
        <w:rPr>
          <w:rFonts w:asciiTheme="minorHAnsi" w:hAnsiTheme="minorHAnsi" w:cstheme="minorHAnsi"/>
        </w:rPr>
        <w:t xml:space="preserve">Το παρόν δελτίο τύπου έχει μόνο ενημερωτικούς σκοπούς και δεν προορίζεται να αποτελέσει, ούτε πρέπει να ερμηνεύεται ως, προσφορά πώλησης ή πρόσκληση για οποιαδήποτε προσφορά αγοράς οποιωνδήποτε κοινών μετοχών στο μετοχικό κεφάλαιο της </w:t>
      </w:r>
      <w:proofErr w:type="spellStart"/>
      <w:r w:rsidRPr="00993EFA">
        <w:rPr>
          <w:rFonts w:asciiTheme="minorHAnsi" w:hAnsiTheme="minorHAnsi" w:cstheme="minorHAnsi"/>
        </w:rPr>
        <w:t>HELLENiQ</w:t>
      </w:r>
      <w:proofErr w:type="spellEnd"/>
      <w:r w:rsidRPr="00993EFA">
        <w:rPr>
          <w:rFonts w:asciiTheme="minorHAnsi" w:hAnsiTheme="minorHAnsi" w:cstheme="minorHAnsi"/>
        </w:rPr>
        <w:t xml:space="preserve"> Energy Holdings S.A. στις Ηνωμένες Πολιτείες ή σε οποιαδήποτε άλλη έννομη τάξη στην οποία η προσφορά, προσέλκυση ή πώληση αυτού του είδους θα ήταν παράνομη κατά την περί κινητών αξιών νομοθεσία αυτής της χώρας. Τα πρόσωπα στην κατοχή των οποίων περιέρχεται αυτή η επικοινωνία πρέπει να ενημερώνονται και να τηρούν τους εν λόγω περιορισμούς. Οποιαδήποτε παράλειψη συμμόρφωσης με αυτούς τους περιορισμούς μπορεί να συνιστά παράβαση των περί κινητών αξιών διατάξεων οποιασδήποτε τέτοιας έννομης τάξης.</w:t>
      </w:r>
    </w:p>
    <w:p w14:paraId="74600784" w14:textId="77777777" w:rsidR="007723EF" w:rsidRPr="00993EFA" w:rsidRDefault="007723EF" w:rsidP="007723EF">
      <w:pPr>
        <w:spacing w:before="240" w:after="140" w:line="240" w:lineRule="auto"/>
        <w:jc w:val="both"/>
        <w:rPr>
          <w:rFonts w:asciiTheme="minorHAnsi" w:hAnsiTheme="minorHAnsi" w:cstheme="minorHAnsi"/>
        </w:rPr>
      </w:pPr>
      <w:r w:rsidRPr="00993EFA">
        <w:rPr>
          <w:rFonts w:asciiTheme="minorHAnsi" w:hAnsiTheme="minorHAnsi" w:cstheme="minorHAnsi"/>
        </w:rPr>
        <w:t xml:space="preserve">Η παρούσα ανακοίνωση δεν αποτελεί προσφορά κινητών αξιών προς πώληση σε ή εντός των Ηνωμένων Πολιτειών. Οι Μετοχές δεν έχουν καταχωριστεί και δεν θα καταχωριστούν σύμφωνα με τον Νόμο περί Κινητών Αξιών των Η.Π.Α. του 1933, όπως τροποποιήθηκε (ο «Νόμος περί Κινητών Αξιών των ΗΠΑ») ή σύμφωνα με τους νόμους οποιασδήποτε πολιτείας των Ηνωμένων Πολιτειών και δεν μπορούν να προσφερθούν ή να πωληθούν άμεσα ή έμμεσα στις Ηνωμένες Πολιτείες ή εντός τους, παρά μόνο σύμφωνα με εξαίρεση από, ή σε συναλλαγή που δεν υπόκειται στις απαιτήσεις καταχώρισης βάσει του Νόμου περί Κινητών Αξιών των ΗΠΑ και σύμφωνα με τις περί κινητών αξιών διατάξεις οποιασδήποτε πολιτείας ή οποιασδήποτε άλλης δικαιοδοσίας των Ηνωμένων Πολιτειών. </w:t>
      </w:r>
      <w:r w:rsidRPr="00993EFA">
        <w:rPr>
          <w:rFonts w:asciiTheme="minorHAnsi" w:hAnsiTheme="minorHAnsi" w:cstheme="minorHAnsi"/>
          <w:lang w:eastAsia="en-GB"/>
        </w:rPr>
        <w:t xml:space="preserve">Οι Μετοχές προσφέρονται και πωλούνται από τους Πωλητές Μετόχους (α) εκτός των Ηνωμένων Πολιτειών σε </w:t>
      </w:r>
      <w:proofErr w:type="spellStart"/>
      <w:r w:rsidRPr="00993EFA">
        <w:rPr>
          <w:rFonts w:asciiTheme="minorHAnsi" w:hAnsiTheme="minorHAnsi" w:cstheme="minorHAnsi"/>
          <w:lang w:eastAsia="en-GB"/>
        </w:rPr>
        <w:t>υπεράκτιες</w:t>
      </w:r>
      <w:proofErr w:type="spellEnd"/>
      <w:r w:rsidRPr="00993EFA">
        <w:rPr>
          <w:rFonts w:asciiTheme="minorHAnsi" w:hAnsiTheme="minorHAnsi" w:cstheme="minorHAnsi"/>
          <w:lang w:eastAsia="en-GB"/>
        </w:rPr>
        <w:t xml:space="preserve"> συναλλαγές, όπως ορίζονται στον και σύμφωνα με τον Κανονισμό S βάσει του Νόμου περί Κινητών Αξιών των ΗΠΑ («Κανονισμός S»), ή (β) στις Ηνωμένες Πολιτείες μόνο σε πρόσωπα που εύλογα θεωρούνται ότι είναι «ειδικοί θεσμικοί αγοραστές» (όπως ορίζονται στον Κανόνα 144Α του Νόμου περί Κινητών Αξιών των ΗΠΑ) («</w:t>
      </w:r>
      <w:proofErr w:type="spellStart"/>
      <w:r w:rsidRPr="00993EFA">
        <w:rPr>
          <w:rFonts w:asciiTheme="minorHAnsi" w:hAnsiTheme="minorHAnsi" w:cstheme="minorHAnsi"/>
          <w:lang w:eastAsia="en-GB"/>
        </w:rPr>
        <w:t>QIBs</w:t>
      </w:r>
      <w:proofErr w:type="spellEnd"/>
      <w:r w:rsidRPr="00993EFA">
        <w:rPr>
          <w:rFonts w:asciiTheme="minorHAnsi" w:hAnsiTheme="minorHAnsi" w:cstheme="minorHAnsi"/>
          <w:lang w:eastAsia="en-GB"/>
        </w:rPr>
        <w:t xml:space="preserve">») σε συναλλαγές δυνάμει εξαίρεσης από, ή σε συναλλαγή που δεν υπόκειται στις απαιτήσεις καταχώρισης του Νόμου περί Κινητών Αξιών των ΗΠΑ. Ένας δυνητικός επενδυτής των Μετοχών είναι, και κατά το χρόνο εγγραφής για τις Μετοχές θα είναι, </w:t>
      </w:r>
      <w:r w:rsidRPr="00993EFA">
        <w:rPr>
          <w:rFonts w:asciiTheme="minorHAnsi" w:hAnsiTheme="minorHAnsi" w:cstheme="minorHAnsi"/>
          <w:lang w:eastAsia="en-GB"/>
        </w:rPr>
        <w:lastRenderedPageBreak/>
        <w:t>(i) εκτός των Ηνωμένων Πολιτειών και εγγραφόμενος για τις Μετοχές σε μια «</w:t>
      </w:r>
      <w:proofErr w:type="spellStart"/>
      <w:r w:rsidRPr="00993EFA">
        <w:rPr>
          <w:rFonts w:asciiTheme="minorHAnsi" w:hAnsiTheme="minorHAnsi" w:cstheme="minorHAnsi"/>
          <w:lang w:eastAsia="en-GB"/>
        </w:rPr>
        <w:t>υπεράκτια</w:t>
      </w:r>
      <w:proofErr w:type="spellEnd"/>
      <w:r w:rsidRPr="00993EFA">
        <w:rPr>
          <w:rFonts w:asciiTheme="minorHAnsi" w:hAnsiTheme="minorHAnsi" w:cstheme="minorHAnsi"/>
          <w:lang w:eastAsia="en-GB"/>
        </w:rPr>
        <w:t xml:space="preserve"> συναλλαγή» όπως ορίζεται σε, και σύμφωνα με, τον Κανονισμό S, ή (</w:t>
      </w:r>
      <w:proofErr w:type="spellStart"/>
      <w:r w:rsidRPr="00993EFA">
        <w:rPr>
          <w:rFonts w:asciiTheme="minorHAnsi" w:hAnsiTheme="minorHAnsi" w:cstheme="minorHAnsi"/>
          <w:lang w:eastAsia="en-GB"/>
        </w:rPr>
        <w:t>ii</w:t>
      </w:r>
      <w:proofErr w:type="spellEnd"/>
      <w:r w:rsidRPr="00993EFA">
        <w:rPr>
          <w:rFonts w:asciiTheme="minorHAnsi" w:hAnsiTheme="minorHAnsi" w:cstheme="minorHAnsi"/>
          <w:lang w:eastAsia="en-GB"/>
        </w:rPr>
        <w:t xml:space="preserve">) (α) QIB και (β) εγγραφόμενος για τις Μετοχές σύμφωνα με εξαίρεση από,  ή σε συναλλαγή που δεν υπόκειται στις απαιτήσεις καταχώρισης βάσει του Νόμου περί Κινητών Αξιών των ΗΠΑ. </w:t>
      </w:r>
      <w:r w:rsidRPr="00993EFA">
        <w:rPr>
          <w:rFonts w:asciiTheme="minorHAnsi" w:hAnsiTheme="minorHAnsi" w:cstheme="minorHAnsi"/>
        </w:rPr>
        <w:t>Δεν θα υπάρξει δημόσια προσφορά των Μετοχών στις Ηνωμένες Πολιτείες ή εντός τους.</w:t>
      </w:r>
    </w:p>
    <w:p w14:paraId="230D4A51" w14:textId="77777777" w:rsidR="007723EF" w:rsidRPr="00993EFA" w:rsidRDefault="007723EF" w:rsidP="007723EF">
      <w:pPr>
        <w:spacing w:before="240" w:after="140" w:line="240" w:lineRule="auto"/>
        <w:jc w:val="both"/>
        <w:rPr>
          <w:rFonts w:asciiTheme="minorHAnsi" w:hAnsiTheme="minorHAnsi" w:cstheme="minorHAnsi"/>
        </w:rPr>
      </w:pPr>
      <w:r w:rsidRPr="00993EFA">
        <w:rPr>
          <w:rFonts w:asciiTheme="minorHAnsi" w:hAnsiTheme="minorHAnsi" w:cstheme="minorHAnsi"/>
        </w:rPr>
        <w:t xml:space="preserve">Όσον αφορά οποιοδήποτε Κράτος Μέλος του Ευρωπαϊκού Οικονομικού Χώρου (έκαστο ένα «Σχετικό Κράτος Μέλος»), δεν έχει πραγματοποιηθεί ούτε πρόκειται να πραγματοποιηθεί καμία ενέργεια για την υποβολή δημόσιας προσφοράς Μετοχών για την οποία απαιτείται δημοσίευση ενημερωτικού δελτίου σε οποιοδήποτε Σχετικό Κράτος Μέλος. Ως εκ τούτου, στα Σχετικά Κράτη Μέλη η παρούσα ανακοίνωση και οποιαδήποτε προσφορά Μετοχών απευθύνεται αποκλειστικά και μπορεί να γίνει μόνο σε «ειδικούς επενδυτές» όπως ορίζονται στο άρθρο 2 στοιχείο ε) του Κανονισμού για το Ενημερωτικό Δελτίο, καθώς και σε περιπτώσεις που εμπίπτουν στο πεδίο εφαρμογής του άρθρου 1 παράγραφος 4 του Κανονισμού για το Ενημερωτικό Δελτίο. </w:t>
      </w:r>
      <w:bookmarkStart w:id="0" w:name="_Hlk152494828"/>
      <w:bookmarkEnd w:id="0"/>
    </w:p>
    <w:p w14:paraId="4FE8C68A" w14:textId="77777777" w:rsidR="007723EF" w:rsidRPr="00993EFA" w:rsidRDefault="007723EF" w:rsidP="007723EF">
      <w:pPr>
        <w:spacing w:before="240" w:after="140" w:line="240" w:lineRule="auto"/>
        <w:jc w:val="both"/>
        <w:rPr>
          <w:rFonts w:asciiTheme="minorHAnsi" w:hAnsiTheme="minorHAnsi" w:cstheme="minorHAnsi"/>
        </w:rPr>
      </w:pPr>
      <w:bookmarkStart w:id="1" w:name="_Hlk152494842"/>
      <w:r w:rsidRPr="00993EFA">
        <w:rPr>
          <w:rFonts w:asciiTheme="minorHAnsi" w:hAnsiTheme="minorHAnsi" w:cstheme="minorHAnsi"/>
        </w:rPr>
        <w:t xml:space="preserve">Για τους σκοπούς της παρούσας διάταξης, η έκφραση "δημόσια προσφορά" σε σχέση με οποιεσδήποτε Μετοχές σε οποιοδήποτε Σχετικό Κράτος Μέλος σημαίνει την ανακοίνωση, υπό οποιαδήποτε μορφή και με οποιοδήποτε μέσο, επαρκών πληροφοριών σχετικά με τους όρους της πώλησης και τις Μετοχές που πρόκειται να προσφερθούν, ώστε να μπορέσει ένας επενδυτής να αποφασίσει να αγοράσει οποιεσδήποτε Μετοχές,  και η έκφραση «Κανονισμός για το Ενημερωτικό Δελτίο» σημαίνει τον Κανονισμό (ΕΕ) 2017/1129. </w:t>
      </w:r>
      <w:bookmarkEnd w:id="1"/>
    </w:p>
    <w:p w14:paraId="3015700E" w14:textId="77777777" w:rsidR="007723EF" w:rsidRPr="00993EFA" w:rsidRDefault="007723EF" w:rsidP="007723EF">
      <w:pPr>
        <w:spacing w:before="240" w:after="140" w:line="240" w:lineRule="auto"/>
        <w:jc w:val="both"/>
        <w:rPr>
          <w:rFonts w:asciiTheme="minorHAnsi" w:hAnsiTheme="minorHAnsi" w:cstheme="minorHAnsi"/>
        </w:rPr>
      </w:pPr>
      <w:r w:rsidRPr="00993EFA">
        <w:rPr>
          <w:rFonts w:asciiTheme="minorHAnsi" w:hAnsiTheme="minorHAnsi" w:cstheme="minorHAnsi"/>
        </w:rPr>
        <w:t>Όσον αφορά το Ηνωμένο Βασίλειο, δεν έχει αναληφθεί ή δεν πρόκειται να αναληφθεί καμία ενέργεια για την υποβολή δημόσιας προσφοράς οποιωνδήποτε Μετοχών για την οποία απαιτείται δημοσίευση ενημερωτικού δελτίου στο Ηνωμένο Βασίλειο. Ως εκ τούτου, στο Ηνωμένο Βασίλειο, η παρούσα ανακοίνωση και οποιαδήποτε προσφορά Μετοχών απευθύνεται αποκλειστικά και μπορεί να γίνει μόνο, και οποιαδήποτε επένδυση ή επενδυτική δραστηριότητα με την οποία σχετίζεται αυτή η ανακοίνωση είναι διαθέσιμη μόνο σε, και θα ασχολείται μόνο με, «ειδικούς επενδυτές» όπως ορίζονται στο άρθρο 2(ε) του Κανονισμού Ενημερωτικού Δελτίου του Ηνωμένου Βασιλείου, οι οποίοι είναι επίσης (i) επαγγελματίες επενδύσεων που εμπίπτουν στο άρθρο 19(5) του Νόμου περί Χρηματοπιστωτικών Υπηρεσιών και Αγορών 2000 (Χρηματοδοτική Προώθηση) 2005 (όπως τροποποιήθηκε) (το "Διάταγμα")· (</w:t>
      </w:r>
      <w:proofErr w:type="spellStart"/>
      <w:r w:rsidRPr="00993EFA">
        <w:rPr>
          <w:rFonts w:asciiTheme="minorHAnsi" w:hAnsiTheme="minorHAnsi" w:cstheme="minorHAnsi"/>
        </w:rPr>
        <w:t>ii</w:t>
      </w:r>
      <w:proofErr w:type="spellEnd"/>
      <w:r w:rsidRPr="00993EFA">
        <w:rPr>
          <w:rFonts w:asciiTheme="minorHAnsi" w:hAnsiTheme="minorHAnsi" w:cstheme="minorHAnsi"/>
        </w:rPr>
        <w:t>) οντότητες υψηλής καθαρής θέσης που εμπίπτουν στο άρθρο 49 παράγραφος 2 στοιχεία α) έως δ) του Διατάγματος, ή (</w:t>
      </w:r>
      <w:proofErr w:type="spellStart"/>
      <w:r w:rsidRPr="00993EFA">
        <w:rPr>
          <w:rFonts w:asciiTheme="minorHAnsi" w:hAnsiTheme="minorHAnsi" w:cstheme="minorHAnsi"/>
        </w:rPr>
        <w:t>iii</w:t>
      </w:r>
      <w:proofErr w:type="spellEnd"/>
      <w:r w:rsidRPr="00993EFA">
        <w:rPr>
          <w:rFonts w:asciiTheme="minorHAnsi" w:hAnsiTheme="minorHAnsi" w:cstheme="minorHAnsi"/>
        </w:rPr>
        <w:t xml:space="preserve">) άλλα πρόσωπα στα οποία η προσφορά των Μετοχών μπορεί άλλως να κοινοποιηθεί νόμιμα (όλα αυτά τα πρόσωπα από κοινού αναφερόμενα ως «αρμόδια πρόσωπα»). Τα πρόσωπα που δεν είναι αρμόδια πρόσωπα δεν πρέπει να προβαίνουν σε καμία ενέργεια βάσει της παρούσας ανακοίνωσης και δεν πρέπει να ενεργούν στο πλαίσιο αυτής ή να βασίζονται σε αυτήν. </w:t>
      </w:r>
    </w:p>
    <w:p w14:paraId="41788D59" w14:textId="77777777" w:rsidR="007723EF" w:rsidRPr="00993EFA" w:rsidRDefault="007723EF" w:rsidP="007723EF">
      <w:pPr>
        <w:spacing w:before="240" w:after="140" w:line="240" w:lineRule="auto"/>
        <w:jc w:val="both"/>
        <w:rPr>
          <w:rFonts w:asciiTheme="minorHAnsi" w:hAnsiTheme="minorHAnsi" w:cstheme="minorHAnsi"/>
        </w:rPr>
      </w:pPr>
      <w:r w:rsidRPr="00993EFA">
        <w:rPr>
          <w:rFonts w:asciiTheme="minorHAnsi" w:hAnsiTheme="minorHAnsi" w:cstheme="minorHAnsi"/>
        </w:rPr>
        <w:t xml:space="preserve">Για τους σκοπούς της παρούσας παραγράφου, η έκφραση «δημόσια προσφορά» σε σχέση με οποιεσδήποτε Μετοχές στο Ηνωμένο Βασίλειο σημαίνει την ανακοίνωση, υπό οποιαδήποτε μορφή και με οποιοδήποτε μέσο, επαρκών πληροφοριών σχετικά με τους όρους της πώλησης και τις Μετοχές που πρόκειται να προσφερθούν, ώστε να μπορέσει ένας επενδυτής να αποφασίσει να αγοράσει οποιεσδήποτε Μετοχές, και η έκφραση «Κανονισμός για το Ενημερωτικό Δελτίο του Ηνωμένου Βασιλείου» σημαίνει τον Κανονισμό (ΕΕ) 2017/1129, όπως αποτελεί μέρος του εθνικού δικαίου του Ηνωμένου Βασιλείου δυνάμει του Νόμου του 2018 για την Αποχώρηση από την Ευρωπαϊκή Ένωση. </w:t>
      </w:r>
    </w:p>
    <w:p w14:paraId="48D35504" w14:textId="77777777" w:rsidR="007723EF" w:rsidRPr="00993EFA" w:rsidRDefault="007723EF" w:rsidP="007723EF">
      <w:pPr>
        <w:spacing w:before="240" w:after="140" w:line="240" w:lineRule="auto"/>
        <w:jc w:val="both"/>
        <w:rPr>
          <w:rFonts w:asciiTheme="minorHAnsi" w:hAnsiTheme="minorHAnsi" w:cstheme="minorHAnsi"/>
        </w:rPr>
      </w:pPr>
      <w:r w:rsidRPr="00993EFA">
        <w:rPr>
          <w:rFonts w:asciiTheme="minorHAnsi" w:hAnsiTheme="minorHAnsi" w:cstheme="minorHAnsi"/>
        </w:rPr>
        <w:lastRenderedPageBreak/>
        <w:t>Η παρούσα ανακοίνωση διανέμεται και απευθύνεται μόνο σε πρόσωπα στο Ηνωμένο Βασίλειο στις περιπτώσεις που δεν εφαρμόζεται το άρθρο 21(1) του FSMA.</w:t>
      </w:r>
    </w:p>
    <w:p w14:paraId="6E715171" w14:textId="77777777" w:rsidR="007723EF" w:rsidRPr="00993EFA" w:rsidRDefault="007723EF" w:rsidP="007723EF">
      <w:pPr>
        <w:spacing w:before="240" w:after="140" w:line="240" w:lineRule="auto"/>
        <w:jc w:val="both"/>
        <w:rPr>
          <w:rFonts w:asciiTheme="minorHAnsi" w:hAnsiTheme="minorHAnsi" w:cstheme="minorHAnsi"/>
        </w:rPr>
      </w:pPr>
      <w:r w:rsidRPr="00993EFA">
        <w:rPr>
          <w:rFonts w:asciiTheme="minorHAnsi" w:hAnsiTheme="minorHAnsi" w:cstheme="minorHAnsi"/>
        </w:rPr>
        <w:t>Οποιοσδήποτε τέτοιος επενδυτής θα θεωρείται επίσης ότι έχει δηλώσει και συμφωνήσει ότι οποιεσδήποτε Μετοχές αποκτήθηκαν από αυτόν κατά την προβλεπόμενη προσφορά Μετοχών δεν έχουν αποκτηθεί για λογαριασμό άλλων προσώπων εκτός από τον εν λόγω επενδυτή. Η παρούσα ανακοίνωση δεν αποτελεί διαφήμιση κατά την έννοια του Κανονισμού για το Ενημερωτικό Δελτίο ή του Κανονισμού για το Ενημερωτικό Δελτίο του Ηνωμένου Βασιλείου και δεν αποτελεί ενημερωτικό δελτίο.</w:t>
      </w:r>
    </w:p>
    <w:p w14:paraId="0C4E57D6" w14:textId="77777777" w:rsidR="007723EF" w:rsidRPr="00993EFA" w:rsidRDefault="007723EF" w:rsidP="007723EF">
      <w:pPr>
        <w:spacing w:before="240" w:after="140" w:line="240" w:lineRule="auto"/>
        <w:jc w:val="both"/>
        <w:rPr>
          <w:rFonts w:asciiTheme="minorHAnsi" w:hAnsiTheme="minorHAnsi" w:cstheme="minorHAnsi"/>
        </w:rPr>
      </w:pPr>
      <w:r w:rsidRPr="00993EFA">
        <w:rPr>
          <w:rFonts w:asciiTheme="minorHAnsi" w:hAnsiTheme="minorHAnsi" w:cstheme="minorHAnsi"/>
        </w:rPr>
        <w:t xml:space="preserve">Οι Πωλητές Μέτοχοι και οι Κοινοί Διεθνείς Συντονιστές δεν έχουν προβεί σε καμία ενέργεια που θα επέτρεπε την προσφορά Μετοχών ή την κατοχή ή διανομή της παρούσας ανακοίνωσης ή οποιουδήποτε άλλου υλικού προσφοράς ή δημοσιότητας σχετικά με τις εν λόγω Μετοχές σε οποιαδήποτε έννομη τάξη όπου απαιτείται ενέργεια για το σκοπό αυτό. Οποιαδήποτε επενδυτική απόφαση σε σχέση με τη Συναλλαγή πρέπει να ληφθεί με βάση όλες τις δημοσίως διαθέσιμες πληροφορίες σχετικά με την </w:t>
      </w:r>
      <w:proofErr w:type="spellStart"/>
      <w:r w:rsidRPr="00993EFA">
        <w:rPr>
          <w:rFonts w:asciiTheme="minorHAnsi" w:hAnsiTheme="minorHAnsi" w:cstheme="minorHAnsi"/>
        </w:rPr>
        <w:t>HELLENiQ</w:t>
      </w:r>
      <w:proofErr w:type="spellEnd"/>
      <w:r w:rsidRPr="00993EFA">
        <w:rPr>
          <w:rFonts w:asciiTheme="minorHAnsi" w:hAnsiTheme="minorHAnsi" w:cstheme="minorHAnsi"/>
        </w:rPr>
        <w:t xml:space="preserve"> και τις Μετοχές. Οι πληροφορίες αυτές δεν έχουν επαληθευτεί κατά τρόπο ανεξάρτητο. Οι πληροφορίες που περιέχονται στην παρούσα ανακοίνωση προορίζονται μόνο για λόγους ενημερωτικούς, χωρίς αξιώσεις πληρότητας. Δεν μπορείτε να βασιστείτε για οποιονδήποτε σκοπό στις πληροφορίες που περιέχονται στην παρούσα ανακοίνωση ούτε στην ακρίβεια ή την πληρότητά τους.</w:t>
      </w:r>
    </w:p>
    <w:p w14:paraId="348C62EB" w14:textId="77777777" w:rsidR="007723EF" w:rsidRPr="00993EFA" w:rsidRDefault="007723EF" w:rsidP="007723EF">
      <w:pPr>
        <w:spacing w:before="240" w:after="140" w:line="240" w:lineRule="auto"/>
        <w:jc w:val="both"/>
        <w:rPr>
          <w:rFonts w:asciiTheme="minorHAnsi" w:hAnsiTheme="minorHAnsi" w:cstheme="minorHAnsi"/>
        </w:rPr>
      </w:pPr>
      <w:r w:rsidRPr="00993EFA">
        <w:rPr>
          <w:rFonts w:asciiTheme="minorHAnsi" w:hAnsiTheme="minorHAnsi" w:cstheme="minorHAnsi"/>
        </w:rPr>
        <w:t xml:space="preserve">Η κοινοποίηση, δημοσίευση ή διανομή αυτής της ανακοίνωσης σε ορισμένες έννομες τάξεις μπορεί να περιορίζεται εκ του νόμου και, ως εκ τούτου, τα πρόσωπα σε αυτές τις χώρες όπου κοινοποιείται, δημοσιεύεται ή διανέμεται, θα πρέπει να ενημερώνονται και να τηρούν τέτοιους περιορισμούς. </w:t>
      </w:r>
    </w:p>
    <w:p w14:paraId="08BB915D" w14:textId="77777777" w:rsidR="007723EF" w:rsidRPr="00993EFA" w:rsidRDefault="007723EF" w:rsidP="007723EF">
      <w:pPr>
        <w:spacing w:before="240" w:after="140" w:line="240" w:lineRule="auto"/>
        <w:jc w:val="both"/>
        <w:rPr>
          <w:rFonts w:asciiTheme="minorHAnsi" w:hAnsiTheme="minorHAnsi" w:cstheme="minorHAnsi"/>
        </w:rPr>
      </w:pPr>
      <w:r w:rsidRPr="00993EFA">
        <w:rPr>
          <w:rFonts w:asciiTheme="minorHAnsi" w:hAnsiTheme="minorHAnsi" w:cstheme="minorHAnsi"/>
        </w:rPr>
        <w:t>Η παρούσα ανακοίνωση μπορεί να περιλαμβάνει δηλώσεις που είναι, ή μπορεί να θεωρηθεί ότι είναι «δηλώσεις για μελλοντικές εξελίξεις» (</w:t>
      </w:r>
      <w:r w:rsidRPr="00993EFA">
        <w:rPr>
          <w:rFonts w:asciiTheme="minorHAnsi" w:hAnsiTheme="minorHAnsi" w:cstheme="minorHAnsi"/>
          <w:lang w:val="en-US"/>
        </w:rPr>
        <w:t>forward</w:t>
      </w:r>
      <w:r w:rsidRPr="00993EFA">
        <w:rPr>
          <w:rFonts w:asciiTheme="minorHAnsi" w:hAnsiTheme="minorHAnsi" w:cstheme="minorHAnsi"/>
        </w:rPr>
        <w:t>-</w:t>
      </w:r>
      <w:r w:rsidRPr="00993EFA">
        <w:rPr>
          <w:rFonts w:asciiTheme="minorHAnsi" w:hAnsiTheme="minorHAnsi" w:cstheme="minorHAnsi"/>
          <w:lang w:val="en-US"/>
        </w:rPr>
        <w:t>looking</w:t>
      </w:r>
      <w:r w:rsidRPr="00993EFA">
        <w:rPr>
          <w:rFonts w:asciiTheme="minorHAnsi" w:hAnsiTheme="minorHAnsi" w:cstheme="minorHAnsi"/>
        </w:rPr>
        <w:t xml:space="preserve"> </w:t>
      </w:r>
      <w:r w:rsidRPr="00993EFA">
        <w:rPr>
          <w:rFonts w:asciiTheme="minorHAnsi" w:hAnsiTheme="minorHAnsi" w:cstheme="minorHAnsi"/>
          <w:lang w:val="en-US"/>
        </w:rPr>
        <w:t>statements</w:t>
      </w:r>
      <w:r w:rsidRPr="00993EFA">
        <w:rPr>
          <w:rFonts w:asciiTheme="minorHAnsi" w:hAnsiTheme="minorHAnsi" w:cstheme="minorHAnsi"/>
        </w:rPr>
        <w:t xml:space="preserve">). Αυτές οι δηλώσεις για μελλοντικές εξελίξεις μπορούν να προσδιοριστούν με τη χρήση ορολογίας δηλώσεων για μελλοντικές εξελίξεις, συμπεριλαμβανομένων των όρων «πιστεύει», «εκτιμά», «σχεδιάζει», «αποσκοπεί», «προβλέπει», «αναμένει», «περιμένει», «προτίθεται», «μπορεί», «θα» ή «πιθανώς» ή, ανά περίπτωση, τις αρνητικές ή άλλες παραλλαγές τους ή συγκρίσιμη ορολογία, ή από συζητήσεις στρατηγικής, σχεδίων, στόχων, σκοπών, μελλοντικών γεγονότων ή προθέσεων. Οι δηλώσεις για μελλοντικές εξελίξεις μπορεί να διαφέρουν και συχνά διαφέρουν ουσιωδώς από τα πραγματικά αποτελέσματα. Οποιεσδήποτε δηλώσεις για μελλοντικές εξελίξεις αποτυπώνουν την τρέχουσα άποψη σε σχέση με μελλοντικά γεγονότα και υπόκεινται σε κινδύνους που σχετίζονται με μελλοντικά γεγονότα και άλλους κινδύνους, αβεβαιότητες και παραδοχές που σχετίζονται με τις επιχειρηματικές δραστηριότητες, τα αποτελέσματα των εργασιών, την οικονομική θέση, τη ρευστότητα, τις προοπτικές, την ανάπτυξη ή τις στρατηγικές της </w:t>
      </w:r>
      <w:proofErr w:type="spellStart"/>
      <w:r w:rsidRPr="00993EFA">
        <w:rPr>
          <w:rFonts w:asciiTheme="minorHAnsi" w:hAnsiTheme="minorHAnsi" w:cstheme="minorHAnsi"/>
        </w:rPr>
        <w:t>HELLENiQ</w:t>
      </w:r>
      <w:proofErr w:type="spellEnd"/>
      <w:r w:rsidRPr="00993EFA">
        <w:rPr>
          <w:rFonts w:asciiTheme="minorHAnsi" w:hAnsiTheme="minorHAnsi" w:cstheme="minorHAnsi"/>
        </w:rPr>
        <w:t xml:space="preserve">. Οι δηλώσεις για μελλοντικές εξελίξεις ισχύουν μόνο από την ημερομηνία κατά την οποία γίνονται. Έκαστος εκ των Κοινών Διεθνών Συντονιστών και οι αντίστοιχες θυγατρικές τους δηλώνουν ρητά ότι δεν αναλαμβάνουν οποιαδήποτε υποχρέωση ή δέσμευση </w:t>
      </w:r>
      <w:proofErr w:type="spellStart"/>
      <w:r w:rsidRPr="00993EFA">
        <w:rPr>
          <w:rFonts w:asciiTheme="minorHAnsi" w:hAnsiTheme="minorHAnsi" w:cstheme="minorHAnsi"/>
        </w:rPr>
        <w:t>επικαιροποίησης</w:t>
      </w:r>
      <w:proofErr w:type="spellEnd"/>
      <w:r w:rsidRPr="00993EFA">
        <w:rPr>
          <w:rFonts w:asciiTheme="minorHAnsi" w:hAnsiTheme="minorHAnsi" w:cstheme="minorHAnsi"/>
        </w:rPr>
        <w:t>, επανελέγχου ή αναθεώρησης οποιασδήποτε δήλωσης για μελλοντικές εξελίξεις που περιέχεται στην παρούσα ανακοίνωση, είτε ως αποτέλεσμα νέων πληροφοριών, μελλοντικών εξελίξεων είτε άλλως.</w:t>
      </w:r>
    </w:p>
    <w:p w14:paraId="1EC454E9" w14:textId="77777777" w:rsidR="007723EF" w:rsidRPr="00993EFA" w:rsidRDefault="007723EF" w:rsidP="007723EF">
      <w:pPr>
        <w:spacing w:before="240" w:after="140" w:line="240" w:lineRule="auto"/>
        <w:jc w:val="both"/>
        <w:rPr>
          <w:rFonts w:asciiTheme="minorHAnsi" w:hAnsiTheme="minorHAnsi" w:cstheme="minorHAnsi"/>
        </w:rPr>
      </w:pPr>
      <w:r w:rsidRPr="00993EFA">
        <w:rPr>
          <w:rFonts w:asciiTheme="minorHAnsi" w:hAnsiTheme="minorHAnsi" w:cstheme="minorHAnsi"/>
        </w:rPr>
        <w:t>Η τιμή και η αξία των τίτλων μπορεί να αυξηθεί ή να μειωθεί. Όποιοι χρειάζονται συμβουλές πρέπει να επικοινωνήσουν με επαγγελματία σύμβουλο. Οι πληροφορίες στην παρούσα ανακοίνωση ή σε οποιοδήποτε από τα έγγραφα που σχετίζονται με τη Συναλλαγή δεν μπορούν να θεωρηθούν ως οδηγός για μελλοντική απόδοση.</w:t>
      </w:r>
    </w:p>
    <w:p w14:paraId="6CFA23FE" w14:textId="77777777" w:rsidR="007723EF" w:rsidRPr="00993EFA" w:rsidRDefault="007723EF" w:rsidP="007723EF">
      <w:pPr>
        <w:spacing w:before="240" w:after="140" w:line="240" w:lineRule="auto"/>
        <w:jc w:val="both"/>
        <w:rPr>
          <w:rFonts w:asciiTheme="minorHAnsi" w:hAnsiTheme="minorHAnsi" w:cstheme="minorHAnsi"/>
        </w:rPr>
      </w:pPr>
      <w:r w:rsidRPr="00993EFA">
        <w:rPr>
          <w:rFonts w:asciiTheme="minorHAnsi" w:hAnsiTheme="minorHAnsi" w:cstheme="minorHAnsi"/>
        </w:rPr>
        <w:lastRenderedPageBreak/>
        <w:t>Οι Κοινοί Διεθνείς Συντονιστές ενεργούν αποκλειστικά για τους Πωλητές Μετόχους και κανέναν άλλο σε σχέση με οποιαδήποτε προσφορά Μετοχών. Δεν θα θεωρούν κανένα άλλο πρόσωπο ως αντίστοιχους πελάτες τους σε σχέση με οποιαδήποτε προσφορά Μετοχών και δεν θα είναι υπεύθυνοι έναντι οποιουδήποτε άλλου εκτός από τους Πωλητές Μετόχους για την παροχή της προστασίας που παρέχεται στους αντίστοιχους πελάτες τους ούτε για την παροχή συμβουλών σε σχέση με οποιαδήποτε προσφορά Μετοχών, το περιεχόμενο αυτής της ανακοίνωσης ή οποιαδήποτε συναλλαγή, ρύθμιση ή άλλο θέμα που αναφέρεται στην παρούσα. Κανένας από τους Κοινούς Διεθνείς Συντονιστές ούτε οποιαδήποτε από τις αντίστοιχες θυγατρικές τους επιχειρήσεις, συνδεδεμένες εταιρείες ή οποιονδήποτε από τους αντίστοιχους διευθυντές, στελέχη, υπαλλήλους, συμβούλους, πράκτορες, εταίρους ή οποιαδήποτε άλλη οντότητα ή πρόσωπο δεν αποδέχεται οποιαδήποτε ευθύνη ή υποχρέωση για, ή προβαίνει σε οποιαδήποτε δήλωση, εγγύηση ή δέσμευση, ρητή ή σιωπηρή, ως προς την αλήθεια, την ακρίβεια, την πληρότητα ή την αμεροληψία των πληροφοριών ή των απόψεων στην παρούσα ανακοίνωση (ή εάν οποιαδήποτε πληροφορία έχει παραλειφθεί από την παρούσα ανακοίνωση) ή οποιαδήποτε άλλη πληροφορία σχετικά με τον όμιλο, τις θυγατρικές ή συνδεδεμένες εταιρείες του, γραπτή, προφορική ή σε οπτική ή ηλεκτρονική μορφή, και με οποιονδήποτε τρόπο μεταδίδεται ή καθίσταται διαθέσιμη ή για οποιαδήποτε ζημία που προκύπτει με οποιονδήποτε τρόπο από οποιαδήποτε χρήση αυτής της ανακοίνωσης ή του περιεχομένου της ή άλλως προκύπτει σε σχέση με αυτήν. Κατά συνέπεια, οι Κοινοί Διεθνείς Συντονιστές αποποιούνται, στο μέγιστο βαθμό που επιτρέπεται από την ισχύουσα νομοθεσία, κάθε ευθύνη, είτε προκύπτει από αδικοπραξία είτε από σύμβαση ή που διαφορετικά θα μπορούσε να διαπιστωθεί ότι έχουν σε σχέση με την παρούσα ανακοίνωση ή/και οποιαδήποτε τέτοια δήλωση.</w:t>
      </w:r>
    </w:p>
    <w:p w14:paraId="1A657C2B" w14:textId="5343ADB3" w:rsidR="00060F35" w:rsidRDefault="007723EF" w:rsidP="007723EF">
      <w:pPr>
        <w:jc w:val="both"/>
      </w:pPr>
      <w:r w:rsidRPr="00993EFA">
        <w:rPr>
          <w:rFonts w:asciiTheme="minorHAnsi" w:hAnsiTheme="minorHAnsi" w:cstheme="minorHAnsi"/>
        </w:rPr>
        <w:t xml:space="preserve">Σε σχέση με τη Συναλλαγή, οι Κοινοί Διεθνείς Συντονιστές και οποιαδήποτε από τις θυγατρικές τους, μπορούν να αποδεχθούν μέρος των Μετοχών της Συναλλαγής ως κύρια θέση και, υπό την ιδιότητα αυτή, μπορούν να διατηρήσουν, να αγοράσουν, να πωλήσουν, να προσφέρουν προς πώληση για δικό τους λογαριασμό τέτοιες Μετοχές και άλλους τίτλους της </w:t>
      </w:r>
      <w:proofErr w:type="spellStart"/>
      <w:r w:rsidRPr="00993EFA">
        <w:rPr>
          <w:rFonts w:asciiTheme="minorHAnsi" w:hAnsiTheme="minorHAnsi" w:cstheme="minorHAnsi"/>
        </w:rPr>
        <w:t>HELLENiQ</w:t>
      </w:r>
      <w:proofErr w:type="spellEnd"/>
      <w:r w:rsidRPr="00993EFA">
        <w:rPr>
          <w:rFonts w:asciiTheme="minorHAnsi" w:hAnsiTheme="minorHAnsi" w:cstheme="minorHAnsi"/>
        </w:rPr>
        <w:t xml:space="preserve"> ή συναφείς επενδύσεις σε σχέση με τη Συναλλαγή ή με άλλο τρόπο. Επιπλέον, οι Κοινοί Διεθνείς Συντονιστές και οποιαδήποτε από τις συνδεδεμένες επιχειρήσεις τους μπορούν να συνάπτουν χρηματοδοτικές συμφωνίες (συμπεριλαμβανομένων συμφωνιών ανταλλαγής ή συμβάσεων επί διαφορών) με επενδυτές στο πλαίσιο των οποίων οι Κοινοί Διεθνείς Συντονιστές και οποιαδήποτε από τις συνδεδεμένες με αυτούς εταιρείες μπορούν κατά καιρούς να αποκτούν, να κατέχουν ή να διαθέτουν Μετοχές. Οι Κοινοί Διεθνείς Συντονιστές ή οι συνδεδεμένες με αυτούς εταιρείες προτίθενται να γνωστοποιούν την έκταση οποιασδήποτε τέτοιας επένδυσης ή συναλλαγής, εκτός αν πραγματοποιείται σύμφωνα με τυχόν νομικές ή κανονιστικές υποχρεώσεις προς </w:t>
      </w:r>
      <w:proofErr w:type="spellStart"/>
      <w:r w:rsidRPr="00993EFA">
        <w:rPr>
          <w:rFonts w:asciiTheme="minorHAnsi" w:hAnsiTheme="minorHAnsi" w:cstheme="minorHAnsi"/>
        </w:rPr>
        <w:t>τούτ</w:t>
      </w:r>
      <w:proofErr w:type="spellEnd"/>
    </w:p>
    <w:p w14:paraId="42592AA7" w14:textId="77777777" w:rsidR="00060F35" w:rsidRDefault="00060F35" w:rsidP="00060F35">
      <w:pPr>
        <w:spacing w:before="240" w:after="120" w:line="280" w:lineRule="atLeast"/>
        <w:jc w:val="both"/>
        <w:rPr>
          <w:rFonts w:cstheme="minorHAnsi"/>
          <w:color w:val="000000"/>
          <w:sz w:val="20"/>
          <w:szCs w:val="20"/>
        </w:rPr>
      </w:pPr>
    </w:p>
    <w:p w14:paraId="71C628E0" w14:textId="77777777" w:rsidR="00060F35" w:rsidRDefault="00060F35" w:rsidP="00060F35">
      <w:pPr>
        <w:spacing w:before="240" w:after="120" w:line="280" w:lineRule="atLeast"/>
        <w:jc w:val="both"/>
        <w:rPr>
          <w:rFonts w:cstheme="minorHAnsi"/>
          <w:color w:val="000000"/>
          <w:sz w:val="20"/>
          <w:szCs w:val="20"/>
        </w:rPr>
      </w:pPr>
    </w:p>
    <w:p w14:paraId="583EC7B9" w14:textId="77777777" w:rsidR="00060F35" w:rsidRPr="00131113" w:rsidRDefault="00060F35" w:rsidP="00060F35">
      <w:pPr>
        <w:spacing w:before="240" w:after="120" w:line="280" w:lineRule="atLeast"/>
        <w:jc w:val="both"/>
        <w:rPr>
          <w:rFonts w:cstheme="minorHAnsi"/>
          <w:b/>
          <w:bCs/>
          <w:color w:val="000000"/>
          <w:sz w:val="20"/>
          <w:szCs w:val="20"/>
        </w:rPr>
      </w:pPr>
      <w:r w:rsidRPr="00131113">
        <w:rPr>
          <w:rFonts w:cstheme="minorHAnsi"/>
          <w:color w:val="000000"/>
          <w:sz w:val="20"/>
          <w:szCs w:val="20"/>
        </w:rPr>
        <w:t xml:space="preserve">Για περισσότερες πληροφορίες και ενημέρωση σχετικά με το ΤΑΙΠΕΔ, μπορείτε να ανατρέξετε στην </w:t>
      </w:r>
      <w:hyperlink r:id="rId11" w:history="1">
        <w:r w:rsidRPr="00131113">
          <w:rPr>
            <w:rStyle w:val="Hyperlink"/>
            <w:rFonts w:cstheme="minorHAnsi"/>
            <w:sz w:val="20"/>
            <w:szCs w:val="20"/>
          </w:rPr>
          <w:t>ιστοσελίδα</w:t>
        </w:r>
      </w:hyperlink>
      <w:r w:rsidRPr="00131113">
        <w:rPr>
          <w:rFonts w:cstheme="minorHAnsi"/>
          <w:color w:val="000000"/>
          <w:sz w:val="20"/>
          <w:szCs w:val="20"/>
        </w:rPr>
        <w:t xml:space="preserve"> του Ταμείου.</w:t>
      </w:r>
    </w:p>
    <w:p w14:paraId="7B80F93E" w14:textId="77777777" w:rsidR="00060F35" w:rsidRPr="00260F53" w:rsidRDefault="00060F35" w:rsidP="00060F35">
      <w:pPr>
        <w:pStyle w:val="Footer"/>
        <w:jc w:val="both"/>
        <w:rPr>
          <w:sz w:val="20"/>
          <w:szCs w:val="20"/>
        </w:rPr>
      </w:pPr>
      <w:r w:rsidRPr="00367D97">
        <w:rPr>
          <w:rFonts w:asciiTheme="minorHAnsi" w:hAnsiTheme="minorHAnsi" w:cs="Segoe UI"/>
          <w:b/>
          <w:bCs/>
          <w:color w:val="000000" w:themeColor="text1"/>
          <w:sz w:val="20"/>
          <w:szCs w:val="20"/>
        </w:rPr>
        <w:t>Πληροφορίες για δημοσιογράφους</w:t>
      </w:r>
      <w:r w:rsidRPr="00367D97">
        <w:rPr>
          <w:rFonts w:asciiTheme="minorHAnsi" w:hAnsiTheme="minorHAnsi" w:cs="Segoe UI"/>
          <w:color w:val="000000" w:themeColor="text1"/>
          <w:sz w:val="20"/>
          <w:szCs w:val="20"/>
        </w:rPr>
        <w:t xml:space="preserve">: Αχιλλέας Τόπας, Τηλέφωνο επικοινωνίας +30 6944902085, </w:t>
      </w:r>
      <w:r w:rsidRPr="00367D97">
        <w:rPr>
          <w:rFonts w:asciiTheme="minorHAnsi" w:hAnsiTheme="minorHAnsi" w:cs="Segoe UI"/>
          <w:color w:val="000000" w:themeColor="text1"/>
          <w:sz w:val="20"/>
          <w:szCs w:val="20"/>
          <w:lang w:val="en-US"/>
        </w:rPr>
        <w:t>Email</w:t>
      </w:r>
      <w:r w:rsidRPr="00367D97">
        <w:rPr>
          <w:rFonts w:asciiTheme="minorHAnsi" w:hAnsiTheme="minorHAnsi" w:cs="Segoe UI"/>
          <w:color w:val="000000" w:themeColor="text1"/>
          <w:sz w:val="20"/>
          <w:szCs w:val="20"/>
        </w:rPr>
        <w:t xml:space="preserve"> </w:t>
      </w:r>
      <w:hyperlink r:id="rId12" w:history="1">
        <w:r w:rsidRPr="00367D97">
          <w:rPr>
            <w:rStyle w:val="Hyperlink"/>
            <w:rFonts w:asciiTheme="minorHAnsi" w:hAnsiTheme="minorHAnsi"/>
            <w:sz w:val="20"/>
            <w:szCs w:val="20"/>
            <w:lang w:val="en-US"/>
          </w:rPr>
          <w:t>press</w:t>
        </w:r>
        <w:r w:rsidRPr="00367D97">
          <w:rPr>
            <w:rStyle w:val="Hyperlink"/>
            <w:rFonts w:asciiTheme="minorHAnsi" w:hAnsiTheme="minorHAnsi"/>
            <w:sz w:val="20"/>
            <w:szCs w:val="20"/>
          </w:rPr>
          <w:t>@</w:t>
        </w:r>
        <w:r w:rsidRPr="00367D97">
          <w:rPr>
            <w:rStyle w:val="Hyperlink"/>
            <w:rFonts w:asciiTheme="minorHAnsi" w:hAnsiTheme="minorHAnsi"/>
            <w:sz w:val="20"/>
            <w:szCs w:val="20"/>
            <w:lang w:val="en-US"/>
          </w:rPr>
          <w:t>hraf</w:t>
        </w:r>
        <w:r w:rsidRPr="00367D97">
          <w:rPr>
            <w:rStyle w:val="Hyperlink"/>
            <w:rFonts w:asciiTheme="minorHAnsi" w:hAnsiTheme="minorHAnsi"/>
            <w:sz w:val="20"/>
            <w:szCs w:val="20"/>
          </w:rPr>
          <w:t>.</w:t>
        </w:r>
        <w:r w:rsidRPr="00367D97">
          <w:rPr>
            <w:rStyle w:val="Hyperlink"/>
            <w:rFonts w:asciiTheme="minorHAnsi" w:hAnsiTheme="minorHAnsi"/>
            <w:sz w:val="20"/>
            <w:szCs w:val="20"/>
            <w:lang w:val="en-US"/>
          </w:rPr>
          <w:t>gr</w:t>
        </w:r>
      </w:hyperlink>
      <w:r w:rsidRPr="00367D97">
        <w:rPr>
          <w:rFonts w:asciiTheme="minorHAnsi" w:hAnsiTheme="minorHAnsi" w:cs="Segoe UI"/>
          <w:color w:val="000000" w:themeColor="text1"/>
          <w:sz w:val="20"/>
          <w:szCs w:val="20"/>
        </w:rPr>
        <w:t xml:space="preserve"> &amp; </w:t>
      </w:r>
      <w:r w:rsidRPr="00367D97">
        <w:rPr>
          <w:rStyle w:val="Hyperlink"/>
          <w:rFonts w:asciiTheme="minorHAnsi" w:hAnsiTheme="minorHAnsi"/>
          <w:sz w:val="20"/>
          <w:szCs w:val="20"/>
          <w:lang w:val="en-US"/>
        </w:rPr>
        <w:t>atopas</w:t>
      </w:r>
      <w:r w:rsidRPr="00367D97">
        <w:rPr>
          <w:rStyle w:val="Hyperlink"/>
          <w:rFonts w:asciiTheme="minorHAnsi" w:hAnsiTheme="minorHAnsi"/>
          <w:sz w:val="20"/>
          <w:szCs w:val="20"/>
        </w:rPr>
        <w:t>@</w:t>
      </w:r>
      <w:r w:rsidRPr="00367D97">
        <w:rPr>
          <w:rStyle w:val="Hyperlink"/>
          <w:rFonts w:asciiTheme="minorHAnsi" w:hAnsiTheme="minorHAnsi"/>
          <w:sz w:val="20"/>
          <w:szCs w:val="20"/>
          <w:lang w:val="en-US"/>
        </w:rPr>
        <w:t>hraf</w:t>
      </w:r>
      <w:r w:rsidRPr="00367D97">
        <w:rPr>
          <w:rStyle w:val="Hyperlink"/>
          <w:rFonts w:asciiTheme="minorHAnsi" w:hAnsiTheme="minorHAnsi"/>
          <w:sz w:val="20"/>
          <w:szCs w:val="20"/>
        </w:rPr>
        <w:t>.</w:t>
      </w:r>
      <w:r w:rsidRPr="00367D97">
        <w:rPr>
          <w:rStyle w:val="Hyperlink"/>
          <w:rFonts w:asciiTheme="minorHAnsi" w:hAnsiTheme="minorHAnsi"/>
          <w:sz w:val="20"/>
          <w:szCs w:val="20"/>
          <w:lang w:val="en-US"/>
        </w:rPr>
        <w:t>gr</w:t>
      </w:r>
    </w:p>
    <w:p w14:paraId="34B420D0" w14:textId="77777777" w:rsidR="009E28F5" w:rsidRPr="008165AF" w:rsidRDefault="009E28F5" w:rsidP="009E28F5">
      <w:pPr>
        <w:jc w:val="both"/>
      </w:pPr>
    </w:p>
    <w:sectPr w:rsidR="009E28F5" w:rsidRPr="008165AF" w:rsidSect="00D4497B">
      <w:headerReference w:type="default" r:id="rId13"/>
      <w:footerReference w:type="default" r:id="rId14"/>
      <w:pgSz w:w="11906" w:h="16838"/>
      <w:pgMar w:top="1418" w:right="1558" w:bottom="1418"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54F68" w14:textId="77777777" w:rsidR="00F61046" w:rsidRDefault="00F61046" w:rsidP="00456E38">
      <w:pPr>
        <w:spacing w:after="0" w:line="240" w:lineRule="auto"/>
      </w:pPr>
      <w:r>
        <w:separator/>
      </w:r>
    </w:p>
  </w:endnote>
  <w:endnote w:type="continuationSeparator" w:id="0">
    <w:p w14:paraId="5FD2E68B" w14:textId="77777777" w:rsidR="00F61046" w:rsidRDefault="00F61046" w:rsidP="00456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6BA9B" w14:textId="77777777" w:rsidR="005245BA" w:rsidRPr="005245BA" w:rsidRDefault="005245BA" w:rsidP="005245B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B3F42" w14:textId="77777777" w:rsidR="00F61046" w:rsidRDefault="00F61046" w:rsidP="00456E38">
      <w:pPr>
        <w:spacing w:after="0" w:line="240" w:lineRule="auto"/>
      </w:pPr>
      <w:r>
        <w:separator/>
      </w:r>
    </w:p>
  </w:footnote>
  <w:footnote w:type="continuationSeparator" w:id="0">
    <w:p w14:paraId="48149477" w14:textId="77777777" w:rsidR="00F61046" w:rsidRDefault="00F61046" w:rsidP="00456E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D4EDA" w14:textId="4F1040CF" w:rsidR="00047D39" w:rsidRDefault="00836217" w:rsidP="00836217">
    <w:pPr>
      <w:pStyle w:val="Header"/>
      <w:jc w:val="center"/>
    </w:pPr>
    <w:r>
      <w:rPr>
        <w:noProof/>
      </w:rPr>
      <w:drawing>
        <wp:inline distT="0" distB="0" distL="0" distR="0" wp14:anchorId="7EA7125A" wp14:editId="6A77F477">
          <wp:extent cx="2736551" cy="573732"/>
          <wp:effectExtent l="0" t="0" r="6985" b="0"/>
          <wp:docPr id="3" name="Picture 3"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6054" cy="592497"/>
                  </a:xfrm>
                  <a:prstGeom prst="rect">
                    <a:avLst/>
                  </a:prstGeom>
                  <a:noFill/>
                  <a:ln>
                    <a:noFill/>
                  </a:ln>
                </pic:spPr>
              </pic:pic>
            </a:graphicData>
          </a:graphic>
        </wp:inline>
      </w:drawing>
    </w:r>
  </w:p>
  <w:p w14:paraId="3D9325EF" w14:textId="77777777" w:rsidR="00C223CD" w:rsidRDefault="00C223CD" w:rsidP="0083621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12FB"/>
    <w:multiLevelType w:val="hybridMultilevel"/>
    <w:tmpl w:val="01BCDC1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3D24EBC"/>
    <w:multiLevelType w:val="hybridMultilevel"/>
    <w:tmpl w:val="652E36B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B67296"/>
    <w:multiLevelType w:val="hybridMultilevel"/>
    <w:tmpl w:val="9350DED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616624"/>
    <w:multiLevelType w:val="hybridMultilevel"/>
    <w:tmpl w:val="5FFE098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9FF101E"/>
    <w:multiLevelType w:val="hybridMultilevel"/>
    <w:tmpl w:val="1F2E7B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B6101A2"/>
    <w:multiLevelType w:val="multilevel"/>
    <w:tmpl w:val="80583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C048F8"/>
    <w:multiLevelType w:val="hybridMultilevel"/>
    <w:tmpl w:val="2C98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E17AB7"/>
    <w:multiLevelType w:val="hybridMultilevel"/>
    <w:tmpl w:val="1C3688B4"/>
    <w:lvl w:ilvl="0" w:tplc="04080001">
      <w:start w:val="1"/>
      <w:numFmt w:val="bullet"/>
      <w:lvlText w:val=""/>
      <w:lvlJc w:val="left"/>
      <w:pPr>
        <w:ind w:left="787" w:hanging="360"/>
      </w:pPr>
      <w:rPr>
        <w:rFonts w:ascii="Symbol" w:hAnsi="Symbol" w:hint="default"/>
      </w:rPr>
    </w:lvl>
    <w:lvl w:ilvl="1" w:tplc="04080003" w:tentative="1">
      <w:start w:val="1"/>
      <w:numFmt w:val="bullet"/>
      <w:lvlText w:val="o"/>
      <w:lvlJc w:val="left"/>
      <w:pPr>
        <w:ind w:left="1507" w:hanging="360"/>
      </w:pPr>
      <w:rPr>
        <w:rFonts w:ascii="Courier New" w:hAnsi="Courier New" w:cs="Courier New" w:hint="default"/>
      </w:rPr>
    </w:lvl>
    <w:lvl w:ilvl="2" w:tplc="04080005" w:tentative="1">
      <w:start w:val="1"/>
      <w:numFmt w:val="bullet"/>
      <w:lvlText w:val=""/>
      <w:lvlJc w:val="left"/>
      <w:pPr>
        <w:ind w:left="2227" w:hanging="360"/>
      </w:pPr>
      <w:rPr>
        <w:rFonts w:ascii="Wingdings" w:hAnsi="Wingdings" w:hint="default"/>
      </w:rPr>
    </w:lvl>
    <w:lvl w:ilvl="3" w:tplc="04080001" w:tentative="1">
      <w:start w:val="1"/>
      <w:numFmt w:val="bullet"/>
      <w:lvlText w:val=""/>
      <w:lvlJc w:val="left"/>
      <w:pPr>
        <w:ind w:left="2947" w:hanging="360"/>
      </w:pPr>
      <w:rPr>
        <w:rFonts w:ascii="Symbol" w:hAnsi="Symbol" w:hint="default"/>
      </w:rPr>
    </w:lvl>
    <w:lvl w:ilvl="4" w:tplc="04080003" w:tentative="1">
      <w:start w:val="1"/>
      <w:numFmt w:val="bullet"/>
      <w:lvlText w:val="o"/>
      <w:lvlJc w:val="left"/>
      <w:pPr>
        <w:ind w:left="3667" w:hanging="360"/>
      </w:pPr>
      <w:rPr>
        <w:rFonts w:ascii="Courier New" w:hAnsi="Courier New" w:cs="Courier New" w:hint="default"/>
      </w:rPr>
    </w:lvl>
    <w:lvl w:ilvl="5" w:tplc="04080005" w:tentative="1">
      <w:start w:val="1"/>
      <w:numFmt w:val="bullet"/>
      <w:lvlText w:val=""/>
      <w:lvlJc w:val="left"/>
      <w:pPr>
        <w:ind w:left="4387" w:hanging="360"/>
      </w:pPr>
      <w:rPr>
        <w:rFonts w:ascii="Wingdings" w:hAnsi="Wingdings" w:hint="default"/>
      </w:rPr>
    </w:lvl>
    <w:lvl w:ilvl="6" w:tplc="04080001" w:tentative="1">
      <w:start w:val="1"/>
      <w:numFmt w:val="bullet"/>
      <w:lvlText w:val=""/>
      <w:lvlJc w:val="left"/>
      <w:pPr>
        <w:ind w:left="5107" w:hanging="360"/>
      </w:pPr>
      <w:rPr>
        <w:rFonts w:ascii="Symbol" w:hAnsi="Symbol" w:hint="default"/>
      </w:rPr>
    </w:lvl>
    <w:lvl w:ilvl="7" w:tplc="04080003" w:tentative="1">
      <w:start w:val="1"/>
      <w:numFmt w:val="bullet"/>
      <w:lvlText w:val="o"/>
      <w:lvlJc w:val="left"/>
      <w:pPr>
        <w:ind w:left="5827" w:hanging="360"/>
      </w:pPr>
      <w:rPr>
        <w:rFonts w:ascii="Courier New" w:hAnsi="Courier New" w:cs="Courier New" w:hint="default"/>
      </w:rPr>
    </w:lvl>
    <w:lvl w:ilvl="8" w:tplc="04080005" w:tentative="1">
      <w:start w:val="1"/>
      <w:numFmt w:val="bullet"/>
      <w:lvlText w:val=""/>
      <w:lvlJc w:val="left"/>
      <w:pPr>
        <w:ind w:left="6547" w:hanging="360"/>
      </w:pPr>
      <w:rPr>
        <w:rFonts w:ascii="Wingdings" w:hAnsi="Wingdings" w:hint="default"/>
      </w:rPr>
    </w:lvl>
  </w:abstractNum>
  <w:abstractNum w:abstractNumId="8" w15:restartNumberingAfterBreak="0">
    <w:nsid w:val="2C27128B"/>
    <w:multiLevelType w:val="hybridMultilevel"/>
    <w:tmpl w:val="00EA5B2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F102FA4"/>
    <w:multiLevelType w:val="hybridMultilevel"/>
    <w:tmpl w:val="663A13D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6D40F0E"/>
    <w:multiLevelType w:val="hybridMultilevel"/>
    <w:tmpl w:val="765E7F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72A7CCF"/>
    <w:multiLevelType w:val="hybridMultilevel"/>
    <w:tmpl w:val="A412BC2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7F447D4"/>
    <w:multiLevelType w:val="hybridMultilevel"/>
    <w:tmpl w:val="9F38BB7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3" w15:restartNumberingAfterBreak="0">
    <w:nsid w:val="3D441A81"/>
    <w:multiLevelType w:val="hybridMultilevel"/>
    <w:tmpl w:val="399EB646"/>
    <w:lvl w:ilvl="0" w:tplc="5038ED9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15:restartNumberingAfterBreak="0">
    <w:nsid w:val="3EC72AD4"/>
    <w:multiLevelType w:val="hybridMultilevel"/>
    <w:tmpl w:val="BF9E9F96"/>
    <w:lvl w:ilvl="0" w:tplc="1C985CC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262D04"/>
    <w:multiLevelType w:val="hybridMultilevel"/>
    <w:tmpl w:val="6268BC8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6" w15:restartNumberingAfterBreak="0">
    <w:nsid w:val="45324B35"/>
    <w:multiLevelType w:val="hybridMultilevel"/>
    <w:tmpl w:val="CDB2A78E"/>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17" w15:restartNumberingAfterBreak="0">
    <w:nsid w:val="46090957"/>
    <w:multiLevelType w:val="hybridMultilevel"/>
    <w:tmpl w:val="7DBC29E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BDB4FA3"/>
    <w:multiLevelType w:val="hybridMultilevel"/>
    <w:tmpl w:val="B6A6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ED15A3"/>
    <w:multiLevelType w:val="multilevel"/>
    <w:tmpl w:val="6F6E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227EEE"/>
    <w:multiLevelType w:val="multilevel"/>
    <w:tmpl w:val="A90CC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383D6C"/>
    <w:multiLevelType w:val="hybridMultilevel"/>
    <w:tmpl w:val="36A82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340DC2"/>
    <w:multiLevelType w:val="hybridMultilevel"/>
    <w:tmpl w:val="C124001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9752B5A"/>
    <w:multiLevelType w:val="hybridMultilevel"/>
    <w:tmpl w:val="0E5893E2"/>
    <w:lvl w:ilvl="0" w:tplc="3498FE08">
      <w:start w:val="1"/>
      <w:numFmt w:val="decimal"/>
      <w:lvlText w:val="%1."/>
      <w:lvlJc w:val="left"/>
      <w:pPr>
        <w:ind w:left="720" w:hanging="360"/>
      </w:pPr>
      <w:rPr>
        <w:rFonts w:cs="Segoe U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AE3959"/>
    <w:multiLevelType w:val="hybridMultilevel"/>
    <w:tmpl w:val="7DB8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6B0B0A"/>
    <w:multiLevelType w:val="hybridMultilevel"/>
    <w:tmpl w:val="F28EC606"/>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6" w15:restartNumberingAfterBreak="0">
    <w:nsid w:val="5A9147DF"/>
    <w:multiLevelType w:val="hybridMultilevel"/>
    <w:tmpl w:val="0AFCCF5C"/>
    <w:lvl w:ilvl="0" w:tplc="8DC2F184">
      <w:numFmt w:val="bullet"/>
      <w:lvlText w:val="-"/>
      <w:lvlJc w:val="left"/>
      <w:pPr>
        <w:ind w:left="408" w:hanging="360"/>
      </w:pPr>
      <w:rPr>
        <w:rFonts w:ascii="Calibri" w:eastAsia="Times New Roman"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7" w15:restartNumberingAfterBreak="0">
    <w:nsid w:val="5C8D456C"/>
    <w:multiLevelType w:val="hybridMultilevel"/>
    <w:tmpl w:val="DBFCE0C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5FEF0CA0"/>
    <w:multiLevelType w:val="hybridMultilevel"/>
    <w:tmpl w:val="56264676"/>
    <w:lvl w:ilvl="0" w:tplc="D1E25D1C">
      <w:numFmt w:val="bullet"/>
      <w:lvlText w:val="-"/>
      <w:lvlJc w:val="left"/>
      <w:pPr>
        <w:ind w:left="720" w:hanging="360"/>
      </w:pPr>
      <w:rPr>
        <w:rFonts w:ascii="Segoe UI" w:eastAsia="Calibri" w:hAnsi="Segoe UI" w:cs="Segoe U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1913CD9"/>
    <w:multiLevelType w:val="hybridMultilevel"/>
    <w:tmpl w:val="62CC998C"/>
    <w:lvl w:ilvl="0" w:tplc="C51ECD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1164EE"/>
    <w:multiLevelType w:val="hybridMultilevel"/>
    <w:tmpl w:val="DEF2782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34404A8"/>
    <w:multiLevelType w:val="hybridMultilevel"/>
    <w:tmpl w:val="815AE164"/>
    <w:lvl w:ilvl="0" w:tplc="F7E4AB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5344A2"/>
    <w:multiLevelType w:val="multilevel"/>
    <w:tmpl w:val="593CB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461345"/>
    <w:multiLevelType w:val="hybridMultilevel"/>
    <w:tmpl w:val="D8A24C3C"/>
    <w:lvl w:ilvl="0" w:tplc="1096B5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F80014"/>
    <w:multiLevelType w:val="hybridMultilevel"/>
    <w:tmpl w:val="82CE9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C02DA2"/>
    <w:multiLevelType w:val="hybridMultilevel"/>
    <w:tmpl w:val="FAD2EBD4"/>
    <w:lvl w:ilvl="0" w:tplc="4FF4D90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09880362">
    <w:abstractNumId w:val="16"/>
  </w:num>
  <w:num w:numId="2" w16cid:durableId="800882050">
    <w:abstractNumId w:val="7"/>
  </w:num>
  <w:num w:numId="3" w16cid:durableId="1329940360">
    <w:abstractNumId w:val="6"/>
  </w:num>
  <w:num w:numId="4" w16cid:durableId="887031980">
    <w:abstractNumId w:val="34"/>
  </w:num>
  <w:num w:numId="5" w16cid:durableId="663432072">
    <w:abstractNumId w:val="10"/>
  </w:num>
  <w:num w:numId="6" w16cid:durableId="163517785">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7" w16cid:durableId="738751298">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8" w16cid:durableId="855921360">
    <w:abstractNumId w:val="32"/>
    <w:lvlOverride w:ilvl="0">
      <w:lvl w:ilvl="0">
        <w:numFmt w:val="bullet"/>
        <w:lvlText w:val=""/>
        <w:lvlJc w:val="left"/>
        <w:pPr>
          <w:tabs>
            <w:tab w:val="num" w:pos="720"/>
          </w:tabs>
          <w:ind w:left="720" w:hanging="360"/>
        </w:pPr>
        <w:rPr>
          <w:rFonts w:ascii="Wingdings" w:hAnsi="Wingdings" w:hint="default"/>
          <w:sz w:val="20"/>
        </w:rPr>
      </w:lvl>
    </w:lvlOverride>
  </w:num>
  <w:num w:numId="9" w16cid:durableId="1832062164">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10" w16cid:durableId="2007708104">
    <w:abstractNumId w:val="3"/>
  </w:num>
  <w:num w:numId="11" w16cid:durableId="99490573">
    <w:abstractNumId w:val="13"/>
  </w:num>
  <w:num w:numId="12" w16cid:durableId="1872378354">
    <w:abstractNumId w:val="28"/>
  </w:num>
  <w:num w:numId="13" w16cid:durableId="1601138721">
    <w:abstractNumId w:val="4"/>
  </w:num>
  <w:num w:numId="14" w16cid:durableId="1879590273">
    <w:abstractNumId w:val="15"/>
  </w:num>
  <w:num w:numId="15" w16cid:durableId="8087918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6167643">
    <w:abstractNumId w:val="31"/>
  </w:num>
  <w:num w:numId="17" w16cid:durableId="212823139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14762891">
    <w:abstractNumId w:val="29"/>
  </w:num>
  <w:num w:numId="19" w16cid:durableId="1340234592">
    <w:abstractNumId w:val="25"/>
  </w:num>
  <w:num w:numId="20" w16cid:durableId="2006592114">
    <w:abstractNumId w:val="23"/>
  </w:num>
  <w:num w:numId="21" w16cid:durableId="74935214">
    <w:abstractNumId w:val="24"/>
  </w:num>
  <w:num w:numId="22" w16cid:durableId="623652671">
    <w:abstractNumId w:val="26"/>
  </w:num>
  <w:num w:numId="23" w16cid:durableId="1276133008">
    <w:abstractNumId w:val="18"/>
  </w:num>
  <w:num w:numId="24" w16cid:durableId="377822571">
    <w:abstractNumId w:val="33"/>
  </w:num>
  <w:num w:numId="25" w16cid:durableId="2089619690">
    <w:abstractNumId w:val="22"/>
  </w:num>
  <w:num w:numId="26" w16cid:durableId="710887763">
    <w:abstractNumId w:val="2"/>
  </w:num>
  <w:num w:numId="27" w16cid:durableId="65299662">
    <w:abstractNumId w:val="14"/>
  </w:num>
  <w:num w:numId="28" w16cid:durableId="1099524968">
    <w:abstractNumId w:val="1"/>
  </w:num>
  <w:num w:numId="29" w16cid:durableId="842159020">
    <w:abstractNumId w:val="30"/>
  </w:num>
  <w:num w:numId="30" w16cid:durableId="1440757668">
    <w:abstractNumId w:val="9"/>
  </w:num>
  <w:num w:numId="31" w16cid:durableId="2107580430">
    <w:abstractNumId w:val="0"/>
  </w:num>
  <w:num w:numId="32" w16cid:durableId="627665978">
    <w:abstractNumId w:val="12"/>
  </w:num>
  <w:num w:numId="33" w16cid:durableId="1587692666">
    <w:abstractNumId w:val="27"/>
  </w:num>
  <w:num w:numId="34" w16cid:durableId="156655842">
    <w:abstractNumId w:val="17"/>
  </w:num>
  <w:num w:numId="35" w16cid:durableId="1074157001">
    <w:abstractNumId w:val="21"/>
  </w:num>
  <w:num w:numId="36" w16cid:durableId="381907342">
    <w:abstractNumId w:val="11"/>
  </w:num>
  <w:num w:numId="37" w16cid:durableId="13950821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M0MLEwMTMyNzYxMDZW0lEKTi0uzszPAykwNK4FAHxww3ctAAAA"/>
  </w:docVars>
  <w:rsids>
    <w:rsidRoot w:val="00456E38"/>
    <w:rsid w:val="0000031D"/>
    <w:rsid w:val="0000047F"/>
    <w:rsid w:val="000057FA"/>
    <w:rsid w:val="00006614"/>
    <w:rsid w:val="00006FE3"/>
    <w:rsid w:val="00013231"/>
    <w:rsid w:val="00015D44"/>
    <w:rsid w:val="00015E02"/>
    <w:rsid w:val="0001606B"/>
    <w:rsid w:val="0001709D"/>
    <w:rsid w:val="00020323"/>
    <w:rsid w:val="00024596"/>
    <w:rsid w:val="00024BD3"/>
    <w:rsid w:val="000255D4"/>
    <w:rsid w:val="00042194"/>
    <w:rsid w:val="00042585"/>
    <w:rsid w:val="00044BC6"/>
    <w:rsid w:val="00047D39"/>
    <w:rsid w:val="0005158E"/>
    <w:rsid w:val="000535EB"/>
    <w:rsid w:val="000547E9"/>
    <w:rsid w:val="000571E5"/>
    <w:rsid w:val="00060F35"/>
    <w:rsid w:val="0006125E"/>
    <w:rsid w:val="000612B4"/>
    <w:rsid w:val="000658F5"/>
    <w:rsid w:val="00067763"/>
    <w:rsid w:val="0007028B"/>
    <w:rsid w:val="00075E7F"/>
    <w:rsid w:val="000841BE"/>
    <w:rsid w:val="00084204"/>
    <w:rsid w:val="00086A6D"/>
    <w:rsid w:val="00090C98"/>
    <w:rsid w:val="0009462F"/>
    <w:rsid w:val="0009680C"/>
    <w:rsid w:val="000A1777"/>
    <w:rsid w:val="000A3D4D"/>
    <w:rsid w:val="000B46FF"/>
    <w:rsid w:val="000B646A"/>
    <w:rsid w:val="000B7D8E"/>
    <w:rsid w:val="000C2DFD"/>
    <w:rsid w:val="000C4255"/>
    <w:rsid w:val="000C47D1"/>
    <w:rsid w:val="000C79B0"/>
    <w:rsid w:val="000D7EBC"/>
    <w:rsid w:val="000D7FAA"/>
    <w:rsid w:val="000E3767"/>
    <w:rsid w:val="000E46C4"/>
    <w:rsid w:val="000E63F6"/>
    <w:rsid w:val="000E7455"/>
    <w:rsid w:val="000F56C4"/>
    <w:rsid w:val="000F63DC"/>
    <w:rsid w:val="00100958"/>
    <w:rsid w:val="001010F5"/>
    <w:rsid w:val="001026CB"/>
    <w:rsid w:val="00107018"/>
    <w:rsid w:val="00114C9B"/>
    <w:rsid w:val="0012096E"/>
    <w:rsid w:val="001275AB"/>
    <w:rsid w:val="001311C1"/>
    <w:rsid w:val="00131C03"/>
    <w:rsid w:val="0013204E"/>
    <w:rsid w:val="00132AD8"/>
    <w:rsid w:val="0013305F"/>
    <w:rsid w:val="001336C0"/>
    <w:rsid w:val="001353E0"/>
    <w:rsid w:val="00136AA2"/>
    <w:rsid w:val="001404CE"/>
    <w:rsid w:val="00140D2E"/>
    <w:rsid w:val="00143F9E"/>
    <w:rsid w:val="001455F3"/>
    <w:rsid w:val="001500DF"/>
    <w:rsid w:val="00152A4B"/>
    <w:rsid w:val="00153684"/>
    <w:rsid w:val="00155FC0"/>
    <w:rsid w:val="00160888"/>
    <w:rsid w:val="001609AE"/>
    <w:rsid w:val="001634C8"/>
    <w:rsid w:val="001677AF"/>
    <w:rsid w:val="00167F08"/>
    <w:rsid w:val="0017043B"/>
    <w:rsid w:val="001717AE"/>
    <w:rsid w:val="00172146"/>
    <w:rsid w:val="00172753"/>
    <w:rsid w:val="00176601"/>
    <w:rsid w:val="0018026E"/>
    <w:rsid w:val="001804BC"/>
    <w:rsid w:val="00183BD5"/>
    <w:rsid w:val="001842AF"/>
    <w:rsid w:val="00184818"/>
    <w:rsid w:val="00186D05"/>
    <w:rsid w:val="00191206"/>
    <w:rsid w:val="00193ED0"/>
    <w:rsid w:val="00196191"/>
    <w:rsid w:val="001A1396"/>
    <w:rsid w:val="001A15D8"/>
    <w:rsid w:val="001A2204"/>
    <w:rsid w:val="001A276B"/>
    <w:rsid w:val="001A4C6D"/>
    <w:rsid w:val="001A5DE7"/>
    <w:rsid w:val="001A6044"/>
    <w:rsid w:val="001B2068"/>
    <w:rsid w:val="001B3381"/>
    <w:rsid w:val="001B5AAE"/>
    <w:rsid w:val="001B69B7"/>
    <w:rsid w:val="001C29AD"/>
    <w:rsid w:val="001C4A63"/>
    <w:rsid w:val="001C7A03"/>
    <w:rsid w:val="001C7C43"/>
    <w:rsid w:val="001D191B"/>
    <w:rsid w:val="001D3B3B"/>
    <w:rsid w:val="001D592A"/>
    <w:rsid w:val="001E06CA"/>
    <w:rsid w:val="001F5678"/>
    <w:rsid w:val="00200C62"/>
    <w:rsid w:val="00200E72"/>
    <w:rsid w:val="00201FAF"/>
    <w:rsid w:val="002025AB"/>
    <w:rsid w:val="00206792"/>
    <w:rsid w:val="00207EB0"/>
    <w:rsid w:val="00210F5A"/>
    <w:rsid w:val="00213D9F"/>
    <w:rsid w:val="00213EC3"/>
    <w:rsid w:val="002166EF"/>
    <w:rsid w:val="00216D98"/>
    <w:rsid w:val="00216FA0"/>
    <w:rsid w:val="002176D2"/>
    <w:rsid w:val="002213EE"/>
    <w:rsid w:val="002230E7"/>
    <w:rsid w:val="002235BA"/>
    <w:rsid w:val="002247C0"/>
    <w:rsid w:val="00226097"/>
    <w:rsid w:val="0022625A"/>
    <w:rsid w:val="00227FF7"/>
    <w:rsid w:val="0023152F"/>
    <w:rsid w:val="002352A8"/>
    <w:rsid w:val="0023624D"/>
    <w:rsid w:val="002368A0"/>
    <w:rsid w:val="0024234B"/>
    <w:rsid w:val="0024299C"/>
    <w:rsid w:val="0024628B"/>
    <w:rsid w:val="00251020"/>
    <w:rsid w:val="00251564"/>
    <w:rsid w:val="00253B4F"/>
    <w:rsid w:val="002569A2"/>
    <w:rsid w:val="00257A44"/>
    <w:rsid w:val="00257B55"/>
    <w:rsid w:val="00262240"/>
    <w:rsid w:val="00262862"/>
    <w:rsid w:val="00263C44"/>
    <w:rsid w:val="0026504D"/>
    <w:rsid w:val="00266B72"/>
    <w:rsid w:val="00266C35"/>
    <w:rsid w:val="00270AC1"/>
    <w:rsid w:val="00272D56"/>
    <w:rsid w:val="00274A78"/>
    <w:rsid w:val="00274DD7"/>
    <w:rsid w:val="00276881"/>
    <w:rsid w:val="00276AC6"/>
    <w:rsid w:val="002820E0"/>
    <w:rsid w:val="00283BC4"/>
    <w:rsid w:val="002847E6"/>
    <w:rsid w:val="00284B8C"/>
    <w:rsid w:val="00287A71"/>
    <w:rsid w:val="00290133"/>
    <w:rsid w:val="0029214B"/>
    <w:rsid w:val="0029336E"/>
    <w:rsid w:val="00294D08"/>
    <w:rsid w:val="00294E24"/>
    <w:rsid w:val="002A1964"/>
    <w:rsid w:val="002A2E2C"/>
    <w:rsid w:val="002B14FD"/>
    <w:rsid w:val="002B1A17"/>
    <w:rsid w:val="002B2523"/>
    <w:rsid w:val="002B488B"/>
    <w:rsid w:val="002B4B67"/>
    <w:rsid w:val="002B53E8"/>
    <w:rsid w:val="002B79B8"/>
    <w:rsid w:val="002C105C"/>
    <w:rsid w:val="002C4ED7"/>
    <w:rsid w:val="002C55D0"/>
    <w:rsid w:val="002C5BF2"/>
    <w:rsid w:val="002D12CB"/>
    <w:rsid w:val="002D1576"/>
    <w:rsid w:val="002E0637"/>
    <w:rsid w:val="002E4D96"/>
    <w:rsid w:val="002E6C5E"/>
    <w:rsid w:val="002E7D0F"/>
    <w:rsid w:val="002F2455"/>
    <w:rsid w:val="002F264A"/>
    <w:rsid w:val="002F5699"/>
    <w:rsid w:val="002F6B2E"/>
    <w:rsid w:val="002F6C03"/>
    <w:rsid w:val="002F7144"/>
    <w:rsid w:val="00301208"/>
    <w:rsid w:val="0030164B"/>
    <w:rsid w:val="00304F1A"/>
    <w:rsid w:val="003066C8"/>
    <w:rsid w:val="00307A03"/>
    <w:rsid w:val="00310125"/>
    <w:rsid w:val="00310AF8"/>
    <w:rsid w:val="00322883"/>
    <w:rsid w:val="003234F0"/>
    <w:rsid w:val="003241CC"/>
    <w:rsid w:val="00325737"/>
    <w:rsid w:val="00327234"/>
    <w:rsid w:val="0033382E"/>
    <w:rsid w:val="00333BD3"/>
    <w:rsid w:val="00335AB2"/>
    <w:rsid w:val="00337810"/>
    <w:rsid w:val="00341008"/>
    <w:rsid w:val="00341C88"/>
    <w:rsid w:val="00342D8B"/>
    <w:rsid w:val="0034319C"/>
    <w:rsid w:val="00344C6E"/>
    <w:rsid w:val="00346BEF"/>
    <w:rsid w:val="00346EF8"/>
    <w:rsid w:val="00352A6E"/>
    <w:rsid w:val="003543BF"/>
    <w:rsid w:val="003543DA"/>
    <w:rsid w:val="00356A9B"/>
    <w:rsid w:val="00367D97"/>
    <w:rsid w:val="00367F40"/>
    <w:rsid w:val="00373606"/>
    <w:rsid w:val="003804B4"/>
    <w:rsid w:val="00380CEA"/>
    <w:rsid w:val="0038100D"/>
    <w:rsid w:val="00381E02"/>
    <w:rsid w:val="003827A5"/>
    <w:rsid w:val="00383F88"/>
    <w:rsid w:val="00385546"/>
    <w:rsid w:val="00385E33"/>
    <w:rsid w:val="00386838"/>
    <w:rsid w:val="00392761"/>
    <w:rsid w:val="0039281C"/>
    <w:rsid w:val="00394363"/>
    <w:rsid w:val="0039487D"/>
    <w:rsid w:val="00397048"/>
    <w:rsid w:val="003A30A4"/>
    <w:rsid w:val="003A3C65"/>
    <w:rsid w:val="003A7898"/>
    <w:rsid w:val="003A7EFB"/>
    <w:rsid w:val="003B2716"/>
    <w:rsid w:val="003B2EB1"/>
    <w:rsid w:val="003B5034"/>
    <w:rsid w:val="003B7719"/>
    <w:rsid w:val="003C06C2"/>
    <w:rsid w:val="003C44E6"/>
    <w:rsid w:val="003D2F89"/>
    <w:rsid w:val="003D4CEF"/>
    <w:rsid w:val="003D6D60"/>
    <w:rsid w:val="003D6DA9"/>
    <w:rsid w:val="003D6F29"/>
    <w:rsid w:val="003E0FCC"/>
    <w:rsid w:val="003E2D2E"/>
    <w:rsid w:val="003E4DC6"/>
    <w:rsid w:val="003E4F26"/>
    <w:rsid w:val="003E661D"/>
    <w:rsid w:val="003F369A"/>
    <w:rsid w:val="003F44D2"/>
    <w:rsid w:val="003F518F"/>
    <w:rsid w:val="003F63D9"/>
    <w:rsid w:val="003F64F3"/>
    <w:rsid w:val="004022DC"/>
    <w:rsid w:val="00411CA7"/>
    <w:rsid w:val="00413B22"/>
    <w:rsid w:val="0041464E"/>
    <w:rsid w:val="00417BC0"/>
    <w:rsid w:val="0042008C"/>
    <w:rsid w:val="00422932"/>
    <w:rsid w:val="00424138"/>
    <w:rsid w:val="00427710"/>
    <w:rsid w:val="004309DF"/>
    <w:rsid w:val="004339E0"/>
    <w:rsid w:val="004341A3"/>
    <w:rsid w:val="004427AC"/>
    <w:rsid w:val="004454E8"/>
    <w:rsid w:val="0045397C"/>
    <w:rsid w:val="00455822"/>
    <w:rsid w:val="004559E2"/>
    <w:rsid w:val="00456E38"/>
    <w:rsid w:val="00460486"/>
    <w:rsid w:val="00462ADC"/>
    <w:rsid w:val="00462EE7"/>
    <w:rsid w:val="00466C03"/>
    <w:rsid w:val="00470945"/>
    <w:rsid w:val="0047282A"/>
    <w:rsid w:val="004740D7"/>
    <w:rsid w:val="0047484B"/>
    <w:rsid w:val="00476490"/>
    <w:rsid w:val="00480420"/>
    <w:rsid w:val="004818D6"/>
    <w:rsid w:val="004844E3"/>
    <w:rsid w:val="00485C62"/>
    <w:rsid w:val="00496B89"/>
    <w:rsid w:val="00496C08"/>
    <w:rsid w:val="004A10B1"/>
    <w:rsid w:val="004A1D05"/>
    <w:rsid w:val="004A217A"/>
    <w:rsid w:val="004A268D"/>
    <w:rsid w:val="004A3AB1"/>
    <w:rsid w:val="004A4F74"/>
    <w:rsid w:val="004B1915"/>
    <w:rsid w:val="004B2DEF"/>
    <w:rsid w:val="004B40BC"/>
    <w:rsid w:val="004B42A5"/>
    <w:rsid w:val="004B65F1"/>
    <w:rsid w:val="004C4F9B"/>
    <w:rsid w:val="004C5735"/>
    <w:rsid w:val="004C5EFC"/>
    <w:rsid w:val="004C7476"/>
    <w:rsid w:val="004C771D"/>
    <w:rsid w:val="004C7800"/>
    <w:rsid w:val="004D092E"/>
    <w:rsid w:val="004D5304"/>
    <w:rsid w:val="004D7F6E"/>
    <w:rsid w:val="004E16FF"/>
    <w:rsid w:val="004E17F9"/>
    <w:rsid w:val="004E4DC9"/>
    <w:rsid w:val="004E78F0"/>
    <w:rsid w:val="004F0885"/>
    <w:rsid w:val="004F3303"/>
    <w:rsid w:val="004F3DA4"/>
    <w:rsid w:val="004F3F6B"/>
    <w:rsid w:val="00511645"/>
    <w:rsid w:val="00511F0F"/>
    <w:rsid w:val="00512310"/>
    <w:rsid w:val="00512806"/>
    <w:rsid w:val="00514EB1"/>
    <w:rsid w:val="00515418"/>
    <w:rsid w:val="005245BA"/>
    <w:rsid w:val="00532D4A"/>
    <w:rsid w:val="00533518"/>
    <w:rsid w:val="00536D19"/>
    <w:rsid w:val="00537AA5"/>
    <w:rsid w:val="00543331"/>
    <w:rsid w:val="005464BD"/>
    <w:rsid w:val="005473EC"/>
    <w:rsid w:val="00547CAA"/>
    <w:rsid w:val="005526A9"/>
    <w:rsid w:val="0055288A"/>
    <w:rsid w:val="00553E5E"/>
    <w:rsid w:val="005568C5"/>
    <w:rsid w:val="00557C1A"/>
    <w:rsid w:val="0056157F"/>
    <w:rsid w:val="00563854"/>
    <w:rsid w:val="00564F1D"/>
    <w:rsid w:val="00564F48"/>
    <w:rsid w:val="0056593B"/>
    <w:rsid w:val="00573412"/>
    <w:rsid w:val="00574167"/>
    <w:rsid w:val="0057419F"/>
    <w:rsid w:val="00574313"/>
    <w:rsid w:val="00582E16"/>
    <w:rsid w:val="00585198"/>
    <w:rsid w:val="00585EFD"/>
    <w:rsid w:val="00586008"/>
    <w:rsid w:val="00592395"/>
    <w:rsid w:val="00592640"/>
    <w:rsid w:val="00593A0C"/>
    <w:rsid w:val="00594AAB"/>
    <w:rsid w:val="00597DA2"/>
    <w:rsid w:val="005A0049"/>
    <w:rsid w:val="005A4916"/>
    <w:rsid w:val="005A4BC9"/>
    <w:rsid w:val="005A58EC"/>
    <w:rsid w:val="005A5E80"/>
    <w:rsid w:val="005B27B0"/>
    <w:rsid w:val="005B3DE3"/>
    <w:rsid w:val="005B739D"/>
    <w:rsid w:val="005C5453"/>
    <w:rsid w:val="005E13FC"/>
    <w:rsid w:val="005E42F7"/>
    <w:rsid w:val="005E663F"/>
    <w:rsid w:val="005F18E8"/>
    <w:rsid w:val="005F5107"/>
    <w:rsid w:val="005F5912"/>
    <w:rsid w:val="00606977"/>
    <w:rsid w:val="006105E3"/>
    <w:rsid w:val="00614AB2"/>
    <w:rsid w:val="0061736A"/>
    <w:rsid w:val="00617E53"/>
    <w:rsid w:val="0062099B"/>
    <w:rsid w:val="0062440A"/>
    <w:rsid w:val="00625A41"/>
    <w:rsid w:val="00630945"/>
    <w:rsid w:val="00631862"/>
    <w:rsid w:val="00631D60"/>
    <w:rsid w:val="0063260B"/>
    <w:rsid w:val="00632B4A"/>
    <w:rsid w:val="006356D1"/>
    <w:rsid w:val="00650AF7"/>
    <w:rsid w:val="00651C29"/>
    <w:rsid w:val="006529DC"/>
    <w:rsid w:val="0065415B"/>
    <w:rsid w:val="00655183"/>
    <w:rsid w:val="00657355"/>
    <w:rsid w:val="006645FF"/>
    <w:rsid w:val="00670B3B"/>
    <w:rsid w:val="00672EE7"/>
    <w:rsid w:val="006772EF"/>
    <w:rsid w:val="00680064"/>
    <w:rsid w:val="00683536"/>
    <w:rsid w:val="00683DFA"/>
    <w:rsid w:val="00683EFE"/>
    <w:rsid w:val="00684A9E"/>
    <w:rsid w:val="00692489"/>
    <w:rsid w:val="00693600"/>
    <w:rsid w:val="00694D08"/>
    <w:rsid w:val="006A5685"/>
    <w:rsid w:val="006A63F1"/>
    <w:rsid w:val="006B092C"/>
    <w:rsid w:val="006B1B70"/>
    <w:rsid w:val="006B2A97"/>
    <w:rsid w:val="006B3489"/>
    <w:rsid w:val="006B558A"/>
    <w:rsid w:val="006C018D"/>
    <w:rsid w:val="006C1344"/>
    <w:rsid w:val="006C36F8"/>
    <w:rsid w:val="006C523D"/>
    <w:rsid w:val="006C5D68"/>
    <w:rsid w:val="006C6891"/>
    <w:rsid w:val="006D0571"/>
    <w:rsid w:val="006D25CF"/>
    <w:rsid w:val="006D3822"/>
    <w:rsid w:val="006D53F9"/>
    <w:rsid w:val="006D55D3"/>
    <w:rsid w:val="006E1D25"/>
    <w:rsid w:val="006E32C0"/>
    <w:rsid w:val="006E6759"/>
    <w:rsid w:val="006F124F"/>
    <w:rsid w:val="006F3584"/>
    <w:rsid w:val="006F3CF7"/>
    <w:rsid w:val="006F4E43"/>
    <w:rsid w:val="00700743"/>
    <w:rsid w:val="007024F7"/>
    <w:rsid w:val="007031D0"/>
    <w:rsid w:val="00704197"/>
    <w:rsid w:val="00704442"/>
    <w:rsid w:val="007044F2"/>
    <w:rsid w:val="00705EB3"/>
    <w:rsid w:val="0070604A"/>
    <w:rsid w:val="0070679D"/>
    <w:rsid w:val="00710DA3"/>
    <w:rsid w:val="007112D0"/>
    <w:rsid w:val="00713EAF"/>
    <w:rsid w:val="00715495"/>
    <w:rsid w:val="007173D7"/>
    <w:rsid w:val="00717FE8"/>
    <w:rsid w:val="00720EA1"/>
    <w:rsid w:val="0072123C"/>
    <w:rsid w:val="00721BF2"/>
    <w:rsid w:val="00725276"/>
    <w:rsid w:val="00725A54"/>
    <w:rsid w:val="007262D2"/>
    <w:rsid w:val="00727B57"/>
    <w:rsid w:val="007307D4"/>
    <w:rsid w:val="00730A01"/>
    <w:rsid w:val="0073133E"/>
    <w:rsid w:val="00733A36"/>
    <w:rsid w:val="007461A8"/>
    <w:rsid w:val="00753B2A"/>
    <w:rsid w:val="00755980"/>
    <w:rsid w:val="00755F36"/>
    <w:rsid w:val="0076068F"/>
    <w:rsid w:val="0076227D"/>
    <w:rsid w:val="0076289A"/>
    <w:rsid w:val="00765022"/>
    <w:rsid w:val="00765667"/>
    <w:rsid w:val="007723EF"/>
    <w:rsid w:val="00773311"/>
    <w:rsid w:val="007740DF"/>
    <w:rsid w:val="00780D2B"/>
    <w:rsid w:val="00781847"/>
    <w:rsid w:val="00782E33"/>
    <w:rsid w:val="00784863"/>
    <w:rsid w:val="00785D59"/>
    <w:rsid w:val="00786082"/>
    <w:rsid w:val="00790E58"/>
    <w:rsid w:val="00793286"/>
    <w:rsid w:val="0079514A"/>
    <w:rsid w:val="0079586D"/>
    <w:rsid w:val="007A1351"/>
    <w:rsid w:val="007A286E"/>
    <w:rsid w:val="007A2A68"/>
    <w:rsid w:val="007A47CD"/>
    <w:rsid w:val="007A617A"/>
    <w:rsid w:val="007B0B6F"/>
    <w:rsid w:val="007B1C0F"/>
    <w:rsid w:val="007B3688"/>
    <w:rsid w:val="007B4000"/>
    <w:rsid w:val="007B564B"/>
    <w:rsid w:val="007B7776"/>
    <w:rsid w:val="007B78D0"/>
    <w:rsid w:val="007C4B9D"/>
    <w:rsid w:val="007C5A5D"/>
    <w:rsid w:val="007D0A4C"/>
    <w:rsid w:val="007D49CA"/>
    <w:rsid w:val="007D5B7A"/>
    <w:rsid w:val="007E0290"/>
    <w:rsid w:val="007E0EDE"/>
    <w:rsid w:val="007E2EA4"/>
    <w:rsid w:val="007E4C58"/>
    <w:rsid w:val="007E5518"/>
    <w:rsid w:val="007F04FE"/>
    <w:rsid w:val="007F0A5F"/>
    <w:rsid w:val="007F0A9F"/>
    <w:rsid w:val="007F1888"/>
    <w:rsid w:val="007F239B"/>
    <w:rsid w:val="007F317B"/>
    <w:rsid w:val="007F5E0F"/>
    <w:rsid w:val="00805721"/>
    <w:rsid w:val="00806AD6"/>
    <w:rsid w:val="00812E7C"/>
    <w:rsid w:val="00814ADC"/>
    <w:rsid w:val="008158F5"/>
    <w:rsid w:val="008165AF"/>
    <w:rsid w:val="0082061C"/>
    <w:rsid w:val="00820C10"/>
    <w:rsid w:val="008336C3"/>
    <w:rsid w:val="00835FF5"/>
    <w:rsid w:val="00836217"/>
    <w:rsid w:val="00837EB9"/>
    <w:rsid w:val="00841A02"/>
    <w:rsid w:val="00842747"/>
    <w:rsid w:val="00843136"/>
    <w:rsid w:val="00846AE5"/>
    <w:rsid w:val="008517D6"/>
    <w:rsid w:val="00852788"/>
    <w:rsid w:val="0085381B"/>
    <w:rsid w:val="00856A1A"/>
    <w:rsid w:val="008601C1"/>
    <w:rsid w:val="00862158"/>
    <w:rsid w:val="00862A0F"/>
    <w:rsid w:val="00863097"/>
    <w:rsid w:val="00870BA4"/>
    <w:rsid w:val="00872003"/>
    <w:rsid w:val="00873299"/>
    <w:rsid w:val="00882561"/>
    <w:rsid w:val="008831CA"/>
    <w:rsid w:val="00885725"/>
    <w:rsid w:val="008908B4"/>
    <w:rsid w:val="00891806"/>
    <w:rsid w:val="008A1A9E"/>
    <w:rsid w:val="008A6B2C"/>
    <w:rsid w:val="008A74FB"/>
    <w:rsid w:val="008B00E4"/>
    <w:rsid w:val="008B0436"/>
    <w:rsid w:val="008B0A1E"/>
    <w:rsid w:val="008B208C"/>
    <w:rsid w:val="008B4852"/>
    <w:rsid w:val="008B7FF5"/>
    <w:rsid w:val="008C2628"/>
    <w:rsid w:val="008C3CD9"/>
    <w:rsid w:val="008C6485"/>
    <w:rsid w:val="008D4D6E"/>
    <w:rsid w:val="008E4472"/>
    <w:rsid w:val="008E6181"/>
    <w:rsid w:val="008E6B49"/>
    <w:rsid w:val="008F1578"/>
    <w:rsid w:val="008F25FB"/>
    <w:rsid w:val="008F2645"/>
    <w:rsid w:val="008F6510"/>
    <w:rsid w:val="008F65CA"/>
    <w:rsid w:val="008F677F"/>
    <w:rsid w:val="00900892"/>
    <w:rsid w:val="0090423F"/>
    <w:rsid w:val="009057A4"/>
    <w:rsid w:val="00906AD8"/>
    <w:rsid w:val="0091096F"/>
    <w:rsid w:val="00912FBD"/>
    <w:rsid w:val="00913DF3"/>
    <w:rsid w:val="0092044E"/>
    <w:rsid w:val="00921B2B"/>
    <w:rsid w:val="00922EDE"/>
    <w:rsid w:val="00926C40"/>
    <w:rsid w:val="00933D59"/>
    <w:rsid w:val="009342E4"/>
    <w:rsid w:val="009409F6"/>
    <w:rsid w:val="00943504"/>
    <w:rsid w:val="00945272"/>
    <w:rsid w:val="0094739D"/>
    <w:rsid w:val="00947712"/>
    <w:rsid w:val="00947B3D"/>
    <w:rsid w:val="009553D7"/>
    <w:rsid w:val="009569B3"/>
    <w:rsid w:val="00957E60"/>
    <w:rsid w:val="00961F3A"/>
    <w:rsid w:val="009638EC"/>
    <w:rsid w:val="00965073"/>
    <w:rsid w:val="009728F2"/>
    <w:rsid w:val="0097468C"/>
    <w:rsid w:val="00977655"/>
    <w:rsid w:val="00977ECF"/>
    <w:rsid w:val="0098323D"/>
    <w:rsid w:val="00985C18"/>
    <w:rsid w:val="0098632D"/>
    <w:rsid w:val="00986357"/>
    <w:rsid w:val="00986D3B"/>
    <w:rsid w:val="00987408"/>
    <w:rsid w:val="00987990"/>
    <w:rsid w:val="009917CD"/>
    <w:rsid w:val="009921D0"/>
    <w:rsid w:val="009924A6"/>
    <w:rsid w:val="0099364D"/>
    <w:rsid w:val="009A2E78"/>
    <w:rsid w:val="009B2CDA"/>
    <w:rsid w:val="009B442D"/>
    <w:rsid w:val="009B45BA"/>
    <w:rsid w:val="009C03F4"/>
    <w:rsid w:val="009C17F8"/>
    <w:rsid w:val="009C6E5C"/>
    <w:rsid w:val="009D267E"/>
    <w:rsid w:val="009D2B0E"/>
    <w:rsid w:val="009D2D85"/>
    <w:rsid w:val="009D352D"/>
    <w:rsid w:val="009E28F5"/>
    <w:rsid w:val="009E39FF"/>
    <w:rsid w:val="009E715A"/>
    <w:rsid w:val="009F56AE"/>
    <w:rsid w:val="009F678C"/>
    <w:rsid w:val="009F723D"/>
    <w:rsid w:val="00A01D83"/>
    <w:rsid w:val="00A03472"/>
    <w:rsid w:val="00A03B2A"/>
    <w:rsid w:val="00A04027"/>
    <w:rsid w:val="00A06F64"/>
    <w:rsid w:val="00A1040B"/>
    <w:rsid w:val="00A113A8"/>
    <w:rsid w:val="00A12AC5"/>
    <w:rsid w:val="00A12D35"/>
    <w:rsid w:val="00A15A1C"/>
    <w:rsid w:val="00A169FA"/>
    <w:rsid w:val="00A17A9B"/>
    <w:rsid w:val="00A229C8"/>
    <w:rsid w:val="00A27ABB"/>
    <w:rsid w:val="00A40465"/>
    <w:rsid w:val="00A42719"/>
    <w:rsid w:val="00A462BF"/>
    <w:rsid w:val="00A46767"/>
    <w:rsid w:val="00A50BC7"/>
    <w:rsid w:val="00A52287"/>
    <w:rsid w:val="00A53420"/>
    <w:rsid w:val="00A539F1"/>
    <w:rsid w:val="00A53AE5"/>
    <w:rsid w:val="00A56453"/>
    <w:rsid w:val="00A5645A"/>
    <w:rsid w:val="00A5780A"/>
    <w:rsid w:val="00A60DD2"/>
    <w:rsid w:val="00A62F8C"/>
    <w:rsid w:val="00A639C8"/>
    <w:rsid w:val="00A63B52"/>
    <w:rsid w:val="00A6536F"/>
    <w:rsid w:val="00A65667"/>
    <w:rsid w:val="00A66CB5"/>
    <w:rsid w:val="00A67E99"/>
    <w:rsid w:val="00A73462"/>
    <w:rsid w:val="00A73EB2"/>
    <w:rsid w:val="00A81170"/>
    <w:rsid w:val="00A81A28"/>
    <w:rsid w:val="00A83588"/>
    <w:rsid w:val="00A840D7"/>
    <w:rsid w:val="00A84BBF"/>
    <w:rsid w:val="00A85B80"/>
    <w:rsid w:val="00A9019B"/>
    <w:rsid w:val="00A9558C"/>
    <w:rsid w:val="00AA45F1"/>
    <w:rsid w:val="00AA497C"/>
    <w:rsid w:val="00AA51ED"/>
    <w:rsid w:val="00AB2E3B"/>
    <w:rsid w:val="00AB35A1"/>
    <w:rsid w:val="00AC2E9A"/>
    <w:rsid w:val="00AC6452"/>
    <w:rsid w:val="00AC6998"/>
    <w:rsid w:val="00AC7B07"/>
    <w:rsid w:val="00AD0B50"/>
    <w:rsid w:val="00AD193D"/>
    <w:rsid w:val="00AD20D2"/>
    <w:rsid w:val="00AD59AA"/>
    <w:rsid w:val="00AD6148"/>
    <w:rsid w:val="00AE27E7"/>
    <w:rsid w:val="00AE3B41"/>
    <w:rsid w:val="00AE7811"/>
    <w:rsid w:val="00AF6FED"/>
    <w:rsid w:val="00B060AB"/>
    <w:rsid w:val="00B06D3D"/>
    <w:rsid w:val="00B11195"/>
    <w:rsid w:val="00B11930"/>
    <w:rsid w:val="00B11F80"/>
    <w:rsid w:val="00B12721"/>
    <w:rsid w:val="00B17DD2"/>
    <w:rsid w:val="00B2025A"/>
    <w:rsid w:val="00B20A43"/>
    <w:rsid w:val="00B2197C"/>
    <w:rsid w:val="00B21B28"/>
    <w:rsid w:val="00B225FA"/>
    <w:rsid w:val="00B23531"/>
    <w:rsid w:val="00B264BD"/>
    <w:rsid w:val="00B27B2D"/>
    <w:rsid w:val="00B27B51"/>
    <w:rsid w:val="00B31286"/>
    <w:rsid w:val="00B34218"/>
    <w:rsid w:val="00B3435A"/>
    <w:rsid w:val="00B4132B"/>
    <w:rsid w:val="00B47025"/>
    <w:rsid w:val="00B47C21"/>
    <w:rsid w:val="00B516FE"/>
    <w:rsid w:val="00B51BC7"/>
    <w:rsid w:val="00B5273F"/>
    <w:rsid w:val="00B56344"/>
    <w:rsid w:val="00B5769A"/>
    <w:rsid w:val="00B644FD"/>
    <w:rsid w:val="00B65BBB"/>
    <w:rsid w:val="00B67338"/>
    <w:rsid w:val="00B709F6"/>
    <w:rsid w:val="00B70DF1"/>
    <w:rsid w:val="00B71678"/>
    <w:rsid w:val="00B720E1"/>
    <w:rsid w:val="00B73C31"/>
    <w:rsid w:val="00B744F1"/>
    <w:rsid w:val="00B74717"/>
    <w:rsid w:val="00B7634D"/>
    <w:rsid w:val="00B76B8D"/>
    <w:rsid w:val="00B76BD4"/>
    <w:rsid w:val="00B77A43"/>
    <w:rsid w:val="00B8107E"/>
    <w:rsid w:val="00B91DD6"/>
    <w:rsid w:val="00B92C5B"/>
    <w:rsid w:val="00B93621"/>
    <w:rsid w:val="00B9572C"/>
    <w:rsid w:val="00BA1EFD"/>
    <w:rsid w:val="00BA256F"/>
    <w:rsid w:val="00BA65D2"/>
    <w:rsid w:val="00BB1BB5"/>
    <w:rsid w:val="00BB257A"/>
    <w:rsid w:val="00BB44A7"/>
    <w:rsid w:val="00BB54B3"/>
    <w:rsid w:val="00BB6501"/>
    <w:rsid w:val="00BC1BCF"/>
    <w:rsid w:val="00BC4B03"/>
    <w:rsid w:val="00BD2833"/>
    <w:rsid w:val="00BD63F5"/>
    <w:rsid w:val="00BD71F6"/>
    <w:rsid w:val="00BE37BC"/>
    <w:rsid w:val="00BE6CAE"/>
    <w:rsid w:val="00BF19E3"/>
    <w:rsid w:val="00BF1A36"/>
    <w:rsid w:val="00BF42D5"/>
    <w:rsid w:val="00BF693F"/>
    <w:rsid w:val="00C040FA"/>
    <w:rsid w:val="00C10129"/>
    <w:rsid w:val="00C130CC"/>
    <w:rsid w:val="00C16CC4"/>
    <w:rsid w:val="00C177E2"/>
    <w:rsid w:val="00C20FF7"/>
    <w:rsid w:val="00C213E7"/>
    <w:rsid w:val="00C223CD"/>
    <w:rsid w:val="00C2323E"/>
    <w:rsid w:val="00C26628"/>
    <w:rsid w:val="00C27C4A"/>
    <w:rsid w:val="00C315D7"/>
    <w:rsid w:val="00C33357"/>
    <w:rsid w:val="00C37952"/>
    <w:rsid w:val="00C42C10"/>
    <w:rsid w:val="00C45805"/>
    <w:rsid w:val="00C46038"/>
    <w:rsid w:val="00C46803"/>
    <w:rsid w:val="00C54B23"/>
    <w:rsid w:val="00C56C89"/>
    <w:rsid w:val="00C57F22"/>
    <w:rsid w:val="00C6050E"/>
    <w:rsid w:val="00C61EBF"/>
    <w:rsid w:val="00C61F37"/>
    <w:rsid w:val="00C6418B"/>
    <w:rsid w:val="00C716CF"/>
    <w:rsid w:val="00C72509"/>
    <w:rsid w:val="00C82325"/>
    <w:rsid w:val="00C8525A"/>
    <w:rsid w:val="00C872B9"/>
    <w:rsid w:val="00C922B5"/>
    <w:rsid w:val="00C9664E"/>
    <w:rsid w:val="00C967A8"/>
    <w:rsid w:val="00C97434"/>
    <w:rsid w:val="00CA0DAB"/>
    <w:rsid w:val="00CA1EF9"/>
    <w:rsid w:val="00CA3FEC"/>
    <w:rsid w:val="00CA4DD6"/>
    <w:rsid w:val="00CB0A21"/>
    <w:rsid w:val="00CB1399"/>
    <w:rsid w:val="00CB4D2F"/>
    <w:rsid w:val="00CB5D7F"/>
    <w:rsid w:val="00CC19A7"/>
    <w:rsid w:val="00CD13C4"/>
    <w:rsid w:val="00CD3954"/>
    <w:rsid w:val="00CD7081"/>
    <w:rsid w:val="00CE36E1"/>
    <w:rsid w:val="00CE68A8"/>
    <w:rsid w:val="00CF0740"/>
    <w:rsid w:val="00CF2C74"/>
    <w:rsid w:val="00CF4654"/>
    <w:rsid w:val="00CF6983"/>
    <w:rsid w:val="00CF6BE6"/>
    <w:rsid w:val="00D02282"/>
    <w:rsid w:val="00D036E9"/>
    <w:rsid w:val="00D05EBD"/>
    <w:rsid w:val="00D06E03"/>
    <w:rsid w:val="00D07E8D"/>
    <w:rsid w:val="00D117D4"/>
    <w:rsid w:val="00D11ECA"/>
    <w:rsid w:val="00D12540"/>
    <w:rsid w:val="00D148D6"/>
    <w:rsid w:val="00D2247E"/>
    <w:rsid w:val="00D227E2"/>
    <w:rsid w:val="00D27DBA"/>
    <w:rsid w:val="00D27E65"/>
    <w:rsid w:val="00D347CC"/>
    <w:rsid w:val="00D3716C"/>
    <w:rsid w:val="00D4497B"/>
    <w:rsid w:val="00D468C8"/>
    <w:rsid w:val="00D50F01"/>
    <w:rsid w:val="00D51840"/>
    <w:rsid w:val="00D51EC2"/>
    <w:rsid w:val="00D56418"/>
    <w:rsid w:val="00D603BF"/>
    <w:rsid w:val="00D61FAD"/>
    <w:rsid w:val="00D629D7"/>
    <w:rsid w:val="00D6358A"/>
    <w:rsid w:val="00D64309"/>
    <w:rsid w:val="00D64B8A"/>
    <w:rsid w:val="00D70077"/>
    <w:rsid w:val="00D712AA"/>
    <w:rsid w:val="00D74E9E"/>
    <w:rsid w:val="00D7580E"/>
    <w:rsid w:val="00D825E8"/>
    <w:rsid w:val="00D83A64"/>
    <w:rsid w:val="00D90850"/>
    <w:rsid w:val="00D91765"/>
    <w:rsid w:val="00D92174"/>
    <w:rsid w:val="00D94B61"/>
    <w:rsid w:val="00DA1A2A"/>
    <w:rsid w:val="00DA233D"/>
    <w:rsid w:val="00DA54D6"/>
    <w:rsid w:val="00DA6F29"/>
    <w:rsid w:val="00DB0FA6"/>
    <w:rsid w:val="00DB408E"/>
    <w:rsid w:val="00DB7B87"/>
    <w:rsid w:val="00DC6973"/>
    <w:rsid w:val="00DC73B6"/>
    <w:rsid w:val="00DD270E"/>
    <w:rsid w:val="00DD43B5"/>
    <w:rsid w:val="00DE02A4"/>
    <w:rsid w:val="00DE1865"/>
    <w:rsid w:val="00DE192C"/>
    <w:rsid w:val="00DF2B92"/>
    <w:rsid w:val="00DF335E"/>
    <w:rsid w:val="00DF515E"/>
    <w:rsid w:val="00DF592A"/>
    <w:rsid w:val="00DF6AB2"/>
    <w:rsid w:val="00DF6E62"/>
    <w:rsid w:val="00DF730B"/>
    <w:rsid w:val="00E00A98"/>
    <w:rsid w:val="00E0166A"/>
    <w:rsid w:val="00E026B1"/>
    <w:rsid w:val="00E02B71"/>
    <w:rsid w:val="00E051DE"/>
    <w:rsid w:val="00E05F2D"/>
    <w:rsid w:val="00E06A54"/>
    <w:rsid w:val="00E07CDD"/>
    <w:rsid w:val="00E11FF8"/>
    <w:rsid w:val="00E21B63"/>
    <w:rsid w:val="00E23135"/>
    <w:rsid w:val="00E2650D"/>
    <w:rsid w:val="00E26E22"/>
    <w:rsid w:val="00E330FE"/>
    <w:rsid w:val="00E33834"/>
    <w:rsid w:val="00E3491D"/>
    <w:rsid w:val="00E41CB3"/>
    <w:rsid w:val="00E44A26"/>
    <w:rsid w:val="00E50E7F"/>
    <w:rsid w:val="00E53B6F"/>
    <w:rsid w:val="00E561F8"/>
    <w:rsid w:val="00E57184"/>
    <w:rsid w:val="00E610E2"/>
    <w:rsid w:val="00E62AAA"/>
    <w:rsid w:val="00E6522A"/>
    <w:rsid w:val="00E662D5"/>
    <w:rsid w:val="00E71FA5"/>
    <w:rsid w:val="00E72CFC"/>
    <w:rsid w:val="00E73477"/>
    <w:rsid w:val="00E75291"/>
    <w:rsid w:val="00E75AA1"/>
    <w:rsid w:val="00E770D5"/>
    <w:rsid w:val="00E8102B"/>
    <w:rsid w:val="00E81933"/>
    <w:rsid w:val="00E8227F"/>
    <w:rsid w:val="00E8319F"/>
    <w:rsid w:val="00E83550"/>
    <w:rsid w:val="00E83CAA"/>
    <w:rsid w:val="00E86411"/>
    <w:rsid w:val="00E87E17"/>
    <w:rsid w:val="00E91091"/>
    <w:rsid w:val="00E9605F"/>
    <w:rsid w:val="00E962BE"/>
    <w:rsid w:val="00E97951"/>
    <w:rsid w:val="00EA38C6"/>
    <w:rsid w:val="00EA5BAE"/>
    <w:rsid w:val="00EB099D"/>
    <w:rsid w:val="00EB1BF9"/>
    <w:rsid w:val="00EB43BE"/>
    <w:rsid w:val="00EB5184"/>
    <w:rsid w:val="00EB5FF2"/>
    <w:rsid w:val="00EC2FDA"/>
    <w:rsid w:val="00EC37F6"/>
    <w:rsid w:val="00EC3DD4"/>
    <w:rsid w:val="00EC6379"/>
    <w:rsid w:val="00ED37AC"/>
    <w:rsid w:val="00ED5EA1"/>
    <w:rsid w:val="00ED6324"/>
    <w:rsid w:val="00EE386A"/>
    <w:rsid w:val="00EE48F4"/>
    <w:rsid w:val="00EE51FF"/>
    <w:rsid w:val="00EE6215"/>
    <w:rsid w:val="00EE7255"/>
    <w:rsid w:val="00EF051D"/>
    <w:rsid w:val="00EF290C"/>
    <w:rsid w:val="00EF4217"/>
    <w:rsid w:val="00EF74E0"/>
    <w:rsid w:val="00F0258B"/>
    <w:rsid w:val="00F03E4C"/>
    <w:rsid w:val="00F06A32"/>
    <w:rsid w:val="00F0730B"/>
    <w:rsid w:val="00F14AFF"/>
    <w:rsid w:val="00F155D4"/>
    <w:rsid w:val="00F22AD6"/>
    <w:rsid w:val="00F234F8"/>
    <w:rsid w:val="00F25FC3"/>
    <w:rsid w:val="00F273B8"/>
    <w:rsid w:val="00F3033A"/>
    <w:rsid w:val="00F31659"/>
    <w:rsid w:val="00F31CAB"/>
    <w:rsid w:val="00F43216"/>
    <w:rsid w:val="00F447E2"/>
    <w:rsid w:val="00F45002"/>
    <w:rsid w:val="00F47637"/>
    <w:rsid w:val="00F540C1"/>
    <w:rsid w:val="00F5563E"/>
    <w:rsid w:val="00F60CA0"/>
    <w:rsid w:val="00F61046"/>
    <w:rsid w:val="00F64010"/>
    <w:rsid w:val="00F64FED"/>
    <w:rsid w:val="00F6590B"/>
    <w:rsid w:val="00F66FF0"/>
    <w:rsid w:val="00F70513"/>
    <w:rsid w:val="00F7172E"/>
    <w:rsid w:val="00F73956"/>
    <w:rsid w:val="00F73E30"/>
    <w:rsid w:val="00F75055"/>
    <w:rsid w:val="00F808DD"/>
    <w:rsid w:val="00F80BA1"/>
    <w:rsid w:val="00F811F3"/>
    <w:rsid w:val="00F858EE"/>
    <w:rsid w:val="00F92C57"/>
    <w:rsid w:val="00F942F4"/>
    <w:rsid w:val="00F94B23"/>
    <w:rsid w:val="00F94B8F"/>
    <w:rsid w:val="00F96A60"/>
    <w:rsid w:val="00FA0E13"/>
    <w:rsid w:val="00FA1496"/>
    <w:rsid w:val="00FA7B63"/>
    <w:rsid w:val="00FA7E5C"/>
    <w:rsid w:val="00FB0609"/>
    <w:rsid w:val="00FB56C4"/>
    <w:rsid w:val="00FB5EED"/>
    <w:rsid w:val="00FB6E88"/>
    <w:rsid w:val="00FB7F1E"/>
    <w:rsid w:val="00FC1F53"/>
    <w:rsid w:val="00FC2D23"/>
    <w:rsid w:val="00FD38AB"/>
    <w:rsid w:val="00FD3C75"/>
    <w:rsid w:val="00FD6A0F"/>
    <w:rsid w:val="00FE0F6E"/>
    <w:rsid w:val="00FE383A"/>
    <w:rsid w:val="00FE5FA4"/>
    <w:rsid w:val="00FE6309"/>
    <w:rsid w:val="00FE653A"/>
    <w:rsid w:val="00FE6688"/>
    <w:rsid w:val="00FE7F17"/>
    <w:rsid w:val="00FF3F94"/>
    <w:rsid w:val="00FF4264"/>
  </w:rsids>
  <m:mathPr>
    <m:mathFont m:val="Cambria Math"/>
    <m:brkBin m:val="before"/>
    <m:brkBinSub m:val="--"/>
    <m:smallFrac/>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A149E"/>
  <w15:docId w15:val="{AC049C32-8DDF-4783-93E9-2F59C9B81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24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6E38"/>
    <w:pPr>
      <w:tabs>
        <w:tab w:val="center" w:pos="4153"/>
        <w:tab w:val="right" w:pos="8306"/>
      </w:tabs>
      <w:spacing w:after="0" w:line="240" w:lineRule="auto"/>
    </w:pPr>
  </w:style>
  <w:style w:type="character" w:customStyle="1" w:styleId="HeaderChar">
    <w:name w:val="Header Char"/>
    <w:basedOn w:val="DefaultParagraphFont"/>
    <w:link w:val="Header"/>
    <w:uiPriority w:val="99"/>
    <w:rsid w:val="00456E38"/>
  </w:style>
  <w:style w:type="paragraph" w:styleId="BalloonText">
    <w:name w:val="Balloon Text"/>
    <w:basedOn w:val="Normal"/>
    <w:link w:val="BalloonTextChar"/>
    <w:uiPriority w:val="99"/>
    <w:semiHidden/>
    <w:unhideWhenUsed/>
    <w:rsid w:val="00456E3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456E38"/>
    <w:rPr>
      <w:rFonts w:ascii="Tahoma" w:hAnsi="Tahoma" w:cs="Tahoma"/>
      <w:sz w:val="16"/>
      <w:szCs w:val="16"/>
    </w:rPr>
  </w:style>
  <w:style w:type="paragraph" w:styleId="Footer">
    <w:name w:val="footer"/>
    <w:basedOn w:val="Normal"/>
    <w:link w:val="FooterChar"/>
    <w:uiPriority w:val="99"/>
    <w:unhideWhenUsed/>
    <w:rsid w:val="00456E38"/>
    <w:pPr>
      <w:tabs>
        <w:tab w:val="center" w:pos="4153"/>
        <w:tab w:val="right" w:pos="8306"/>
      </w:tabs>
      <w:spacing w:after="0" w:line="240" w:lineRule="auto"/>
    </w:pPr>
  </w:style>
  <w:style w:type="character" w:customStyle="1" w:styleId="FooterChar">
    <w:name w:val="Footer Char"/>
    <w:basedOn w:val="DefaultParagraphFont"/>
    <w:link w:val="Footer"/>
    <w:uiPriority w:val="99"/>
    <w:rsid w:val="00456E38"/>
  </w:style>
  <w:style w:type="paragraph" w:styleId="ListParagraph">
    <w:name w:val="List Paragraph"/>
    <w:basedOn w:val="Normal"/>
    <w:uiPriority w:val="34"/>
    <w:qFormat/>
    <w:rsid w:val="009F678C"/>
    <w:pPr>
      <w:ind w:left="720"/>
      <w:contextualSpacing/>
    </w:pPr>
    <w:rPr>
      <w:lang w:eastAsia="en-US"/>
    </w:rPr>
  </w:style>
  <w:style w:type="character" w:styleId="CommentReference">
    <w:name w:val="annotation reference"/>
    <w:uiPriority w:val="99"/>
    <w:semiHidden/>
    <w:unhideWhenUsed/>
    <w:rsid w:val="003D6F29"/>
    <w:rPr>
      <w:sz w:val="16"/>
      <w:szCs w:val="16"/>
    </w:rPr>
  </w:style>
  <w:style w:type="paragraph" w:styleId="CommentText">
    <w:name w:val="annotation text"/>
    <w:basedOn w:val="Normal"/>
    <w:link w:val="CommentTextChar"/>
    <w:uiPriority w:val="99"/>
    <w:unhideWhenUsed/>
    <w:rsid w:val="003D6F29"/>
    <w:pPr>
      <w:spacing w:line="240" w:lineRule="auto"/>
    </w:pPr>
    <w:rPr>
      <w:sz w:val="20"/>
      <w:szCs w:val="20"/>
    </w:rPr>
  </w:style>
  <w:style w:type="character" w:customStyle="1" w:styleId="CommentTextChar">
    <w:name w:val="Comment Text Char"/>
    <w:link w:val="CommentText"/>
    <w:uiPriority w:val="99"/>
    <w:rsid w:val="003D6F29"/>
    <w:rPr>
      <w:sz w:val="20"/>
      <w:szCs w:val="20"/>
    </w:rPr>
  </w:style>
  <w:style w:type="paragraph" w:styleId="CommentSubject">
    <w:name w:val="annotation subject"/>
    <w:basedOn w:val="CommentText"/>
    <w:next w:val="CommentText"/>
    <w:link w:val="CommentSubjectChar"/>
    <w:uiPriority w:val="99"/>
    <w:semiHidden/>
    <w:unhideWhenUsed/>
    <w:rsid w:val="003D6F29"/>
    <w:rPr>
      <w:b/>
      <w:bCs/>
    </w:rPr>
  </w:style>
  <w:style w:type="character" w:customStyle="1" w:styleId="CommentSubjectChar">
    <w:name w:val="Comment Subject Char"/>
    <w:link w:val="CommentSubject"/>
    <w:uiPriority w:val="99"/>
    <w:semiHidden/>
    <w:rsid w:val="003D6F29"/>
    <w:rPr>
      <w:b/>
      <w:bCs/>
      <w:sz w:val="20"/>
      <w:szCs w:val="20"/>
    </w:rPr>
  </w:style>
  <w:style w:type="character" w:customStyle="1" w:styleId="hps">
    <w:name w:val="hps"/>
    <w:basedOn w:val="DefaultParagraphFont"/>
    <w:rsid w:val="00DA54D6"/>
  </w:style>
  <w:style w:type="paragraph" w:styleId="Revision">
    <w:name w:val="Revision"/>
    <w:hidden/>
    <w:uiPriority w:val="99"/>
    <w:semiHidden/>
    <w:rsid w:val="005A4BC9"/>
    <w:rPr>
      <w:sz w:val="22"/>
      <w:szCs w:val="22"/>
    </w:rPr>
  </w:style>
  <w:style w:type="character" w:styleId="Hyperlink">
    <w:name w:val="Hyperlink"/>
    <w:rsid w:val="00D90850"/>
    <w:rPr>
      <w:color w:val="0000FF"/>
      <w:u w:val="single"/>
    </w:rPr>
  </w:style>
  <w:style w:type="paragraph" w:customStyle="1" w:styleId="Default">
    <w:name w:val="Default"/>
    <w:rsid w:val="002352A8"/>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1B33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B6501"/>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D74E9E"/>
  </w:style>
  <w:style w:type="character" w:customStyle="1" w:styleId="CharAttribute6">
    <w:name w:val="CharAttribute6"/>
    <w:rsid w:val="00D3716C"/>
    <w:rPr>
      <w:rFonts w:ascii="Segoe UI" w:eastAsia="Calibri" w:hAnsi="Segoe UI" w:cs="Segoe UI" w:hint="default"/>
      <w:sz w:val="24"/>
    </w:rPr>
  </w:style>
  <w:style w:type="paragraph" w:customStyle="1" w:styleId="Style5">
    <w:name w:val="Style5"/>
    <w:basedOn w:val="Normal"/>
    <w:uiPriority w:val="99"/>
    <w:rsid w:val="003241CC"/>
    <w:pPr>
      <w:widowControl w:val="0"/>
      <w:autoSpaceDE w:val="0"/>
      <w:autoSpaceDN w:val="0"/>
      <w:adjustRightInd w:val="0"/>
      <w:spacing w:after="0" w:line="344" w:lineRule="exact"/>
      <w:jc w:val="both"/>
    </w:pPr>
    <w:rPr>
      <w:rFonts w:ascii="Segoe UI" w:eastAsia="Times New Roman" w:hAnsi="Segoe UI" w:cs="Segoe UI"/>
      <w:sz w:val="24"/>
      <w:szCs w:val="24"/>
    </w:rPr>
  </w:style>
  <w:style w:type="character" w:customStyle="1" w:styleId="FontStyle13">
    <w:name w:val="Font Style13"/>
    <w:basedOn w:val="DefaultParagraphFont"/>
    <w:uiPriority w:val="99"/>
    <w:rsid w:val="003241CC"/>
    <w:rPr>
      <w:rFonts w:ascii="Arial" w:hAnsi="Arial" w:cs="Arial"/>
      <w:sz w:val="18"/>
      <w:szCs w:val="18"/>
    </w:rPr>
  </w:style>
  <w:style w:type="character" w:customStyle="1" w:styleId="FontStyle45">
    <w:name w:val="Font Style45"/>
    <w:rsid w:val="003241CC"/>
    <w:rPr>
      <w:rFonts w:ascii="Calibri" w:hAnsi="Calibri"/>
      <w:sz w:val="22"/>
    </w:rPr>
  </w:style>
  <w:style w:type="character" w:styleId="UnresolvedMention">
    <w:name w:val="Unresolved Mention"/>
    <w:basedOn w:val="DefaultParagraphFont"/>
    <w:uiPriority w:val="99"/>
    <w:semiHidden/>
    <w:unhideWhenUsed/>
    <w:rsid w:val="009E715A"/>
    <w:rPr>
      <w:color w:val="605E5C"/>
      <w:shd w:val="clear" w:color="auto" w:fill="E1DFDD"/>
    </w:rPr>
  </w:style>
  <w:style w:type="paragraph" w:customStyle="1" w:styleId="xmsonormal">
    <w:name w:val="x_msonormal"/>
    <w:basedOn w:val="Normal"/>
    <w:rsid w:val="00172146"/>
    <w:pPr>
      <w:spacing w:after="0" w:line="240" w:lineRule="auto"/>
    </w:pPr>
    <w:rPr>
      <w:rFonts w:eastAsiaTheme="minorHAnsi" w:cs="Calibri"/>
      <w:lang w:val="en-US" w:eastAsia="en-US"/>
    </w:rPr>
  </w:style>
  <w:style w:type="character" w:customStyle="1" w:styleId="elementor-button-text">
    <w:name w:val="elementor-button-text"/>
    <w:basedOn w:val="DefaultParagraphFont"/>
    <w:rsid w:val="004818D6"/>
  </w:style>
  <w:style w:type="character" w:customStyle="1" w:styleId="StyleFontStyle45BodyCalibri">
    <w:name w:val="Style Font Style45 + +Body (Calibri)"/>
    <w:uiPriority w:val="99"/>
    <w:rsid w:val="004C771D"/>
    <w:rPr>
      <w:rFonts w:ascii="Calibri" w:hAnsi="Calibri" w:cs="Times New Roman" w:hint="default"/>
      <w:sz w:val="22"/>
    </w:rPr>
  </w:style>
  <w:style w:type="paragraph" w:customStyle="1" w:styleId="Body1">
    <w:name w:val="Body1"/>
    <w:basedOn w:val="Normal"/>
    <w:uiPriority w:val="99"/>
    <w:rsid w:val="002A1964"/>
    <w:pPr>
      <w:spacing w:after="240" w:line="240" w:lineRule="auto"/>
      <w:ind w:left="567"/>
      <w:jc w:val="both"/>
    </w:pPr>
    <w:rPr>
      <w:rFonts w:ascii="Tahoma" w:eastAsia="SimSun" w:hAnsi="Tahoma" w:cs="Tahoma"/>
      <w:lang w:val="en-GB" w:eastAsia="zh-CN"/>
    </w:rPr>
  </w:style>
  <w:style w:type="character" w:customStyle="1" w:styleId="normaltextrun">
    <w:name w:val="normaltextrun"/>
    <w:basedOn w:val="DefaultParagraphFont"/>
    <w:rsid w:val="00D27DBA"/>
  </w:style>
  <w:style w:type="character" w:styleId="Emphasis">
    <w:name w:val="Emphasis"/>
    <w:basedOn w:val="DefaultParagraphFont"/>
    <w:uiPriority w:val="20"/>
    <w:qFormat/>
    <w:rsid w:val="008C3CD9"/>
    <w:rPr>
      <w:i/>
      <w:iCs/>
    </w:rPr>
  </w:style>
  <w:style w:type="character" w:customStyle="1" w:styleId="cf01">
    <w:name w:val="cf01"/>
    <w:basedOn w:val="DefaultParagraphFont"/>
    <w:rsid w:val="00060F35"/>
    <w:rPr>
      <w:rFonts w:ascii="Segoe UI" w:hAnsi="Segoe UI" w:cs="Segoe UI" w:hint="default"/>
      <w:i/>
      <w:iCs/>
      <w:sz w:val="18"/>
      <w:szCs w:val="18"/>
    </w:rPr>
  </w:style>
  <w:style w:type="character" w:customStyle="1" w:styleId="s1">
    <w:name w:val="s1"/>
    <w:basedOn w:val="DefaultParagraphFont"/>
    <w:rsid w:val="00060F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764110">
      <w:bodyDiv w:val="1"/>
      <w:marLeft w:val="0"/>
      <w:marRight w:val="0"/>
      <w:marTop w:val="0"/>
      <w:marBottom w:val="0"/>
      <w:divBdr>
        <w:top w:val="none" w:sz="0" w:space="0" w:color="auto"/>
        <w:left w:val="none" w:sz="0" w:space="0" w:color="auto"/>
        <w:bottom w:val="none" w:sz="0" w:space="0" w:color="auto"/>
        <w:right w:val="none" w:sz="0" w:space="0" w:color="auto"/>
      </w:divBdr>
    </w:div>
    <w:div w:id="241185078">
      <w:bodyDiv w:val="1"/>
      <w:marLeft w:val="0"/>
      <w:marRight w:val="0"/>
      <w:marTop w:val="0"/>
      <w:marBottom w:val="0"/>
      <w:divBdr>
        <w:top w:val="none" w:sz="0" w:space="0" w:color="auto"/>
        <w:left w:val="none" w:sz="0" w:space="0" w:color="auto"/>
        <w:bottom w:val="none" w:sz="0" w:space="0" w:color="auto"/>
        <w:right w:val="none" w:sz="0" w:space="0" w:color="auto"/>
      </w:divBdr>
    </w:div>
    <w:div w:id="368141927">
      <w:bodyDiv w:val="1"/>
      <w:marLeft w:val="0"/>
      <w:marRight w:val="0"/>
      <w:marTop w:val="0"/>
      <w:marBottom w:val="0"/>
      <w:divBdr>
        <w:top w:val="none" w:sz="0" w:space="0" w:color="auto"/>
        <w:left w:val="none" w:sz="0" w:space="0" w:color="auto"/>
        <w:bottom w:val="none" w:sz="0" w:space="0" w:color="auto"/>
        <w:right w:val="none" w:sz="0" w:space="0" w:color="auto"/>
      </w:divBdr>
      <w:divsChild>
        <w:div w:id="1481922793">
          <w:marLeft w:val="0"/>
          <w:marRight w:val="0"/>
          <w:marTop w:val="0"/>
          <w:marBottom w:val="0"/>
          <w:divBdr>
            <w:top w:val="none" w:sz="0" w:space="0" w:color="auto"/>
            <w:left w:val="none" w:sz="0" w:space="0" w:color="auto"/>
            <w:bottom w:val="none" w:sz="0" w:space="0" w:color="auto"/>
            <w:right w:val="none" w:sz="0" w:space="0" w:color="auto"/>
          </w:divBdr>
          <w:divsChild>
            <w:div w:id="2087530391">
              <w:marLeft w:val="0"/>
              <w:marRight w:val="0"/>
              <w:marTop w:val="0"/>
              <w:marBottom w:val="0"/>
              <w:divBdr>
                <w:top w:val="none" w:sz="0" w:space="0" w:color="auto"/>
                <w:left w:val="none" w:sz="0" w:space="0" w:color="auto"/>
                <w:bottom w:val="none" w:sz="0" w:space="0" w:color="auto"/>
                <w:right w:val="none" w:sz="0" w:space="0" w:color="auto"/>
              </w:divBdr>
              <w:divsChild>
                <w:div w:id="234433922">
                  <w:marLeft w:val="0"/>
                  <w:marRight w:val="0"/>
                  <w:marTop w:val="0"/>
                  <w:marBottom w:val="0"/>
                  <w:divBdr>
                    <w:top w:val="none" w:sz="0" w:space="0" w:color="auto"/>
                    <w:left w:val="none" w:sz="0" w:space="0" w:color="auto"/>
                    <w:bottom w:val="none" w:sz="0" w:space="0" w:color="auto"/>
                    <w:right w:val="none" w:sz="0" w:space="0" w:color="auto"/>
                  </w:divBdr>
                  <w:divsChild>
                    <w:div w:id="85418862">
                      <w:marLeft w:val="0"/>
                      <w:marRight w:val="0"/>
                      <w:marTop w:val="0"/>
                      <w:marBottom w:val="0"/>
                      <w:divBdr>
                        <w:top w:val="none" w:sz="0" w:space="0" w:color="auto"/>
                        <w:left w:val="none" w:sz="0" w:space="0" w:color="auto"/>
                        <w:bottom w:val="none" w:sz="0" w:space="0" w:color="auto"/>
                        <w:right w:val="none" w:sz="0" w:space="0" w:color="auto"/>
                      </w:divBdr>
                      <w:divsChild>
                        <w:div w:id="1470245024">
                          <w:marLeft w:val="0"/>
                          <w:marRight w:val="0"/>
                          <w:marTop w:val="0"/>
                          <w:marBottom w:val="0"/>
                          <w:divBdr>
                            <w:top w:val="none" w:sz="0" w:space="0" w:color="auto"/>
                            <w:left w:val="none" w:sz="0" w:space="0" w:color="auto"/>
                            <w:bottom w:val="none" w:sz="0" w:space="0" w:color="auto"/>
                            <w:right w:val="none" w:sz="0" w:space="0" w:color="auto"/>
                          </w:divBdr>
                          <w:divsChild>
                            <w:div w:id="299770441">
                              <w:marLeft w:val="0"/>
                              <w:marRight w:val="0"/>
                              <w:marTop w:val="0"/>
                              <w:marBottom w:val="0"/>
                              <w:divBdr>
                                <w:top w:val="none" w:sz="0" w:space="0" w:color="auto"/>
                                <w:left w:val="none" w:sz="0" w:space="0" w:color="auto"/>
                                <w:bottom w:val="none" w:sz="0" w:space="0" w:color="auto"/>
                                <w:right w:val="none" w:sz="0" w:space="0" w:color="auto"/>
                              </w:divBdr>
                              <w:divsChild>
                                <w:div w:id="1798402667">
                                  <w:marLeft w:val="0"/>
                                  <w:marRight w:val="0"/>
                                  <w:marTop w:val="0"/>
                                  <w:marBottom w:val="0"/>
                                  <w:divBdr>
                                    <w:top w:val="none" w:sz="0" w:space="0" w:color="auto"/>
                                    <w:left w:val="none" w:sz="0" w:space="0" w:color="auto"/>
                                    <w:bottom w:val="none" w:sz="0" w:space="0" w:color="auto"/>
                                    <w:right w:val="none" w:sz="0" w:space="0" w:color="auto"/>
                                  </w:divBdr>
                                  <w:divsChild>
                                    <w:div w:id="543905958">
                                      <w:marLeft w:val="0"/>
                                      <w:marRight w:val="0"/>
                                      <w:marTop w:val="0"/>
                                      <w:marBottom w:val="0"/>
                                      <w:divBdr>
                                        <w:top w:val="none" w:sz="0" w:space="0" w:color="auto"/>
                                        <w:left w:val="none" w:sz="0" w:space="0" w:color="auto"/>
                                        <w:bottom w:val="none" w:sz="0" w:space="0" w:color="auto"/>
                                        <w:right w:val="none" w:sz="0" w:space="0" w:color="auto"/>
                                      </w:divBdr>
                                      <w:divsChild>
                                        <w:div w:id="1323393185">
                                          <w:marLeft w:val="0"/>
                                          <w:marRight w:val="0"/>
                                          <w:marTop w:val="0"/>
                                          <w:marBottom w:val="0"/>
                                          <w:divBdr>
                                            <w:top w:val="none" w:sz="0" w:space="0" w:color="auto"/>
                                            <w:left w:val="none" w:sz="0" w:space="0" w:color="auto"/>
                                            <w:bottom w:val="none" w:sz="0" w:space="0" w:color="auto"/>
                                            <w:right w:val="none" w:sz="0" w:space="0" w:color="auto"/>
                                          </w:divBdr>
                                          <w:divsChild>
                                            <w:div w:id="969089886">
                                              <w:marLeft w:val="0"/>
                                              <w:marRight w:val="0"/>
                                              <w:marTop w:val="0"/>
                                              <w:marBottom w:val="0"/>
                                              <w:divBdr>
                                                <w:top w:val="single" w:sz="6" w:space="0" w:color="F5F5F5"/>
                                                <w:left w:val="single" w:sz="6" w:space="0" w:color="F5F5F5"/>
                                                <w:bottom w:val="single" w:sz="6" w:space="0" w:color="F5F5F5"/>
                                                <w:right w:val="single" w:sz="6" w:space="0" w:color="F5F5F5"/>
                                              </w:divBdr>
                                              <w:divsChild>
                                                <w:div w:id="1659577431">
                                                  <w:marLeft w:val="0"/>
                                                  <w:marRight w:val="0"/>
                                                  <w:marTop w:val="0"/>
                                                  <w:marBottom w:val="0"/>
                                                  <w:divBdr>
                                                    <w:top w:val="none" w:sz="0" w:space="0" w:color="auto"/>
                                                    <w:left w:val="none" w:sz="0" w:space="0" w:color="auto"/>
                                                    <w:bottom w:val="none" w:sz="0" w:space="0" w:color="auto"/>
                                                    <w:right w:val="none" w:sz="0" w:space="0" w:color="auto"/>
                                                  </w:divBdr>
                                                  <w:divsChild>
                                                    <w:div w:id="141913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6589622">
      <w:bodyDiv w:val="1"/>
      <w:marLeft w:val="0"/>
      <w:marRight w:val="0"/>
      <w:marTop w:val="0"/>
      <w:marBottom w:val="0"/>
      <w:divBdr>
        <w:top w:val="none" w:sz="0" w:space="0" w:color="auto"/>
        <w:left w:val="none" w:sz="0" w:space="0" w:color="auto"/>
        <w:bottom w:val="none" w:sz="0" w:space="0" w:color="auto"/>
        <w:right w:val="none" w:sz="0" w:space="0" w:color="auto"/>
      </w:divBdr>
    </w:div>
    <w:div w:id="410471466">
      <w:bodyDiv w:val="1"/>
      <w:marLeft w:val="0"/>
      <w:marRight w:val="0"/>
      <w:marTop w:val="0"/>
      <w:marBottom w:val="0"/>
      <w:divBdr>
        <w:top w:val="none" w:sz="0" w:space="0" w:color="auto"/>
        <w:left w:val="none" w:sz="0" w:space="0" w:color="auto"/>
        <w:bottom w:val="none" w:sz="0" w:space="0" w:color="auto"/>
        <w:right w:val="none" w:sz="0" w:space="0" w:color="auto"/>
      </w:divBdr>
    </w:div>
    <w:div w:id="631982920">
      <w:bodyDiv w:val="1"/>
      <w:marLeft w:val="0"/>
      <w:marRight w:val="0"/>
      <w:marTop w:val="0"/>
      <w:marBottom w:val="0"/>
      <w:divBdr>
        <w:top w:val="none" w:sz="0" w:space="0" w:color="auto"/>
        <w:left w:val="none" w:sz="0" w:space="0" w:color="auto"/>
        <w:bottom w:val="none" w:sz="0" w:space="0" w:color="auto"/>
        <w:right w:val="none" w:sz="0" w:space="0" w:color="auto"/>
      </w:divBdr>
    </w:div>
    <w:div w:id="681975157">
      <w:bodyDiv w:val="1"/>
      <w:marLeft w:val="0"/>
      <w:marRight w:val="0"/>
      <w:marTop w:val="0"/>
      <w:marBottom w:val="0"/>
      <w:divBdr>
        <w:top w:val="none" w:sz="0" w:space="0" w:color="auto"/>
        <w:left w:val="none" w:sz="0" w:space="0" w:color="auto"/>
        <w:bottom w:val="none" w:sz="0" w:space="0" w:color="auto"/>
        <w:right w:val="none" w:sz="0" w:space="0" w:color="auto"/>
      </w:divBdr>
    </w:div>
    <w:div w:id="767043113">
      <w:bodyDiv w:val="1"/>
      <w:marLeft w:val="0"/>
      <w:marRight w:val="0"/>
      <w:marTop w:val="0"/>
      <w:marBottom w:val="0"/>
      <w:divBdr>
        <w:top w:val="none" w:sz="0" w:space="0" w:color="auto"/>
        <w:left w:val="none" w:sz="0" w:space="0" w:color="auto"/>
        <w:bottom w:val="none" w:sz="0" w:space="0" w:color="auto"/>
        <w:right w:val="none" w:sz="0" w:space="0" w:color="auto"/>
      </w:divBdr>
    </w:div>
    <w:div w:id="768819567">
      <w:bodyDiv w:val="1"/>
      <w:marLeft w:val="0"/>
      <w:marRight w:val="0"/>
      <w:marTop w:val="0"/>
      <w:marBottom w:val="0"/>
      <w:divBdr>
        <w:top w:val="none" w:sz="0" w:space="0" w:color="auto"/>
        <w:left w:val="none" w:sz="0" w:space="0" w:color="auto"/>
        <w:bottom w:val="none" w:sz="0" w:space="0" w:color="auto"/>
        <w:right w:val="none" w:sz="0" w:space="0" w:color="auto"/>
      </w:divBdr>
    </w:div>
    <w:div w:id="892960160">
      <w:bodyDiv w:val="1"/>
      <w:marLeft w:val="0"/>
      <w:marRight w:val="0"/>
      <w:marTop w:val="0"/>
      <w:marBottom w:val="0"/>
      <w:divBdr>
        <w:top w:val="none" w:sz="0" w:space="0" w:color="auto"/>
        <w:left w:val="none" w:sz="0" w:space="0" w:color="auto"/>
        <w:bottom w:val="none" w:sz="0" w:space="0" w:color="auto"/>
        <w:right w:val="none" w:sz="0" w:space="0" w:color="auto"/>
      </w:divBdr>
      <w:divsChild>
        <w:div w:id="1401443776">
          <w:marLeft w:val="0"/>
          <w:marRight w:val="0"/>
          <w:marTop w:val="0"/>
          <w:marBottom w:val="0"/>
          <w:divBdr>
            <w:top w:val="none" w:sz="0" w:space="0" w:color="auto"/>
            <w:left w:val="none" w:sz="0" w:space="0" w:color="auto"/>
            <w:bottom w:val="none" w:sz="0" w:space="0" w:color="auto"/>
            <w:right w:val="none" w:sz="0" w:space="0" w:color="auto"/>
          </w:divBdr>
          <w:divsChild>
            <w:div w:id="405343615">
              <w:marLeft w:val="0"/>
              <w:marRight w:val="0"/>
              <w:marTop w:val="0"/>
              <w:marBottom w:val="0"/>
              <w:divBdr>
                <w:top w:val="none" w:sz="0" w:space="0" w:color="auto"/>
                <w:left w:val="none" w:sz="0" w:space="0" w:color="auto"/>
                <w:bottom w:val="none" w:sz="0" w:space="0" w:color="auto"/>
                <w:right w:val="none" w:sz="0" w:space="0" w:color="auto"/>
              </w:divBdr>
              <w:divsChild>
                <w:div w:id="492913836">
                  <w:marLeft w:val="0"/>
                  <w:marRight w:val="0"/>
                  <w:marTop w:val="0"/>
                  <w:marBottom w:val="0"/>
                  <w:divBdr>
                    <w:top w:val="none" w:sz="0" w:space="0" w:color="auto"/>
                    <w:left w:val="none" w:sz="0" w:space="0" w:color="auto"/>
                    <w:bottom w:val="none" w:sz="0" w:space="0" w:color="auto"/>
                    <w:right w:val="none" w:sz="0" w:space="0" w:color="auto"/>
                  </w:divBdr>
                  <w:divsChild>
                    <w:div w:id="408308127">
                      <w:marLeft w:val="0"/>
                      <w:marRight w:val="0"/>
                      <w:marTop w:val="0"/>
                      <w:marBottom w:val="300"/>
                      <w:divBdr>
                        <w:top w:val="none" w:sz="0" w:space="0" w:color="auto"/>
                        <w:left w:val="none" w:sz="0" w:space="0" w:color="auto"/>
                        <w:bottom w:val="none" w:sz="0" w:space="0" w:color="auto"/>
                        <w:right w:val="none" w:sz="0" w:space="0" w:color="auto"/>
                      </w:divBdr>
                      <w:divsChild>
                        <w:div w:id="1923874963">
                          <w:marLeft w:val="0"/>
                          <w:marRight w:val="0"/>
                          <w:marTop w:val="0"/>
                          <w:marBottom w:val="0"/>
                          <w:divBdr>
                            <w:top w:val="none" w:sz="0" w:space="0" w:color="auto"/>
                            <w:left w:val="none" w:sz="0" w:space="0" w:color="auto"/>
                            <w:bottom w:val="none" w:sz="0" w:space="0" w:color="auto"/>
                            <w:right w:val="none" w:sz="0" w:space="0" w:color="auto"/>
                          </w:divBdr>
                        </w:div>
                      </w:divsChild>
                    </w:div>
                    <w:div w:id="650982611">
                      <w:marLeft w:val="0"/>
                      <w:marRight w:val="0"/>
                      <w:marTop w:val="0"/>
                      <w:marBottom w:val="0"/>
                      <w:divBdr>
                        <w:top w:val="none" w:sz="0" w:space="0" w:color="auto"/>
                        <w:left w:val="none" w:sz="0" w:space="0" w:color="auto"/>
                        <w:bottom w:val="none" w:sz="0" w:space="0" w:color="auto"/>
                        <w:right w:val="none" w:sz="0" w:space="0" w:color="auto"/>
                      </w:divBdr>
                      <w:divsChild>
                        <w:div w:id="16305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602969">
      <w:bodyDiv w:val="1"/>
      <w:marLeft w:val="0"/>
      <w:marRight w:val="0"/>
      <w:marTop w:val="0"/>
      <w:marBottom w:val="0"/>
      <w:divBdr>
        <w:top w:val="none" w:sz="0" w:space="0" w:color="auto"/>
        <w:left w:val="none" w:sz="0" w:space="0" w:color="auto"/>
        <w:bottom w:val="none" w:sz="0" w:space="0" w:color="auto"/>
        <w:right w:val="none" w:sz="0" w:space="0" w:color="auto"/>
      </w:divBdr>
    </w:div>
    <w:div w:id="1074157617">
      <w:bodyDiv w:val="1"/>
      <w:marLeft w:val="0"/>
      <w:marRight w:val="0"/>
      <w:marTop w:val="0"/>
      <w:marBottom w:val="0"/>
      <w:divBdr>
        <w:top w:val="none" w:sz="0" w:space="0" w:color="auto"/>
        <w:left w:val="none" w:sz="0" w:space="0" w:color="auto"/>
        <w:bottom w:val="none" w:sz="0" w:space="0" w:color="auto"/>
        <w:right w:val="none" w:sz="0" w:space="0" w:color="auto"/>
      </w:divBdr>
    </w:div>
    <w:div w:id="1083262073">
      <w:bodyDiv w:val="1"/>
      <w:marLeft w:val="0"/>
      <w:marRight w:val="0"/>
      <w:marTop w:val="0"/>
      <w:marBottom w:val="0"/>
      <w:divBdr>
        <w:top w:val="none" w:sz="0" w:space="0" w:color="auto"/>
        <w:left w:val="none" w:sz="0" w:space="0" w:color="auto"/>
        <w:bottom w:val="none" w:sz="0" w:space="0" w:color="auto"/>
        <w:right w:val="none" w:sz="0" w:space="0" w:color="auto"/>
      </w:divBdr>
    </w:div>
    <w:div w:id="1115716101">
      <w:bodyDiv w:val="1"/>
      <w:marLeft w:val="0"/>
      <w:marRight w:val="0"/>
      <w:marTop w:val="0"/>
      <w:marBottom w:val="0"/>
      <w:divBdr>
        <w:top w:val="none" w:sz="0" w:space="0" w:color="auto"/>
        <w:left w:val="none" w:sz="0" w:space="0" w:color="auto"/>
        <w:bottom w:val="none" w:sz="0" w:space="0" w:color="auto"/>
        <w:right w:val="none" w:sz="0" w:space="0" w:color="auto"/>
      </w:divBdr>
    </w:div>
    <w:div w:id="1119255770">
      <w:bodyDiv w:val="1"/>
      <w:marLeft w:val="0"/>
      <w:marRight w:val="0"/>
      <w:marTop w:val="0"/>
      <w:marBottom w:val="0"/>
      <w:divBdr>
        <w:top w:val="none" w:sz="0" w:space="0" w:color="auto"/>
        <w:left w:val="none" w:sz="0" w:space="0" w:color="auto"/>
        <w:bottom w:val="none" w:sz="0" w:space="0" w:color="auto"/>
        <w:right w:val="none" w:sz="0" w:space="0" w:color="auto"/>
      </w:divBdr>
    </w:div>
    <w:div w:id="1157307742">
      <w:bodyDiv w:val="1"/>
      <w:marLeft w:val="0"/>
      <w:marRight w:val="0"/>
      <w:marTop w:val="0"/>
      <w:marBottom w:val="0"/>
      <w:divBdr>
        <w:top w:val="none" w:sz="0" w:space="0" w:color="auto"/>
        <w:left w:val="none" w:sz="0" w:space="0" w:color="auto"/>
        <w:bottom w:val="none" w:sz="0" w:space="0" w:color="auto"/>
        <w:right w:val="none" w:sz="0" w:space="0" w:color="auto"/>
      </w:divBdr>
    </w:div>
    <w:div w:id="1214343629">
      <w:bodyDiv w:val="1"/>
      <w:marLeft w:val="0"/>
      <w:marRight w:val="0"/>
      <w:marTop w:val="0"/>
      <w:marBottom w:val="0"/>
      <w:divBdr>
        <w:top w:val="none" w:sz="0" w:space="0" w:color="auto"/>
        <w:left w:val="none" w:sz="0" w:space="0" w:color="auto"/>
        <w:bottom w:val="none" w:sz="0" w:space="0" w:color="auto"/>
        <w:right w:val="none" w:sz="0" w:space="0" w:color="auto"/>
      </w:divBdr>
    </w:div>
    <w:div w:id="1225069440">
      <w:bodyDiv w:val="1"/>
      <w:marLeft w:val="0"/>
      <w:marRight w:val="0"/>
      <w:marTop w:val="0"/>
      <w:marBottom w:val="0"/>
      <w:divBdr>
        <w:top w:val="none" w:sz="0" w:space="0" w:color="auto"/>
        <w:left w:val="none" w:sz="0" w:space="0" w:color="auto"/>
        <w:bottom w:val="none" w:sz="0" w:space="0" w:color="auto"/>
        <w:right w:val="none" w:sz="0" w:space="0" w:color="auto"/>
      </w:divBdr>
      <w:divsChild>
        <w:div w:id="928388570">
          <w:marLeft w:val="0"/>
          <w:marRight w:val="0"/>
          <w:marTop w:val="0"/>
          <w:marBottom w:val="0"/>
          <w:divBdr>
            <w:top w:val="none" w:sz="0" w:space="0" w:color="auto"/>
            <w:left w:val="none" w:sz="0" w:space="0" w:color="auto"/>
            <w:bottom w:val="none" w:sz="0" w:space="0" w:color="auto"/>
            <w:right w:val="none" w:sz="0" w:space="0" w:color="auto"/>
          </w:divBdr>
          <w:divsChild>
            <w:div w:id="598410615">
              <w:marLeft w:val="0"/>
              <w:marRight w:val="0"/>
              <w:marTop w:val="0"/>
              <w:marBottom w:val="0"/>
              <w:divBdr>
                <w:top w:val="none" w:sz="0" w:space="0" w:color="auto"/>
                <w:left w:val="none" w:sz="0" w:space="0" w:color="auto"/>
                <w:bottom w:val="none" w:sz="0" w:space="0" w:color="auto"/>
                <w:right w:val="none" w:sz="0" w:space="0" w:color="auto"/>
              </w:divBdr>
              <w:divsChild>
                <w:div w:id="196322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271538">
      <w:bodyDiv w:val="1"/>
      <w:marLeft w:val="0"/>
      <w:marRight w:val="0"/>
      <w:marTop w:val="0"/>
      <w:marBottom w:val="0"/>
      <w:divBdr>
        <w:top w:val="none" w:sz="0" w:space="0" w:color="auto"/>
        <w:left w:val="none" w:sz="0" w:space="0" w:color="auto"/>
        <w:bottom w:val="none" w:sz="0" w:space="0" w:color="auto"/>
        <w:right w:val="none" w:sz="0" w:space="0" w:color="auto"/>
      </w:divBdr>
    </w:div>
    <w:div w:id="1465342581">
      <w:bodyDiv w:val="1"/>
      <w:marLeft w:val="0"/>
      <w:marRight w:val="0"/>
      <w:marTop w:val="0"/>
      <w:marBottom w:val="0"/>
      <w:divBdr>
        <w:top w:val="none" w:sz="0" w:space="0" w:color="auto"/>
        <w:left w:val="none" w:sz="0" w:space="0" w:color="auto"/>
        <w:bottom w:val="none" w:sz="0" w:space="0" w:color="auto"/>
        <w:right w:val="none" w:sz="0" w:space="0" w:color="auto"/>
      </w:divBdr>
    </w:div>
    <w:div w:id="1577014736">
      <w:bodyDiv w:val="1"/>
      <w:marLeft w:val="0"/>
      <w:marRight w:val="0"/>
      <w:marTop w:val="0"/>
      <w:marBottom w:val="0"/>
      <w:divBdr>
        <w:top w:val="none" w:sz="0" w:space="0" w:color="auto"/>
        <w:left w:val="none" w:sz="0" w:space="0" w:color="auto"/>
        <w:bottom w:val="none" w:sz="0" w:space="0" w:color="auto"/>
        <w:right w:val="none" w:sz="0" w:space="0" w:color="auto"/>
      </w:divBdr>
    </w:div>
    <w:div w:id="1582910215">
      <w:bodyDiv w:val="1"/>
      <w:marLeft w:val="0"/>
      <w:marRight w:val="0"/>
      <w:marTop w:val="0"/>
      <w:marBottom w:val="0"/>
      <w:divBdr>
        <w:top w:val="none" w:sz="0" w:space="0" w:color="auto"/>
        <w:left w:val="none" w:sz="0" w:space="0" w:color="auto"/>
        <w:bottom w:val="none" w:sz="0" w:space="0" w:color="auto"/>
        <w:right w:val="none" w:sz="0" w:space="0" w:color="auto"/>
      </w:divBdr>
    </w:div>
    <w:div w:id="1595433487">
      <w:bodyDiv w:val="1"/>
      <w:marLeft w:val="0"/>
      <w:marRight w:val="0"/>
      <w:marTop w:val="0"/>
      <w:marBottom w:val="0"/>
      <w:divBdr>
        <w:top w:val="none" w:sz="0" w:space="0" w:color="auto"/>
        <w:left w:val="none" w:sz="0" w:space="0" w:color="auto"/>
        <w:bottom w:val="none" w:sz="0" w:space="0" w:color="auto"/>
        <w:right w:val="none" w:sz="0" w:space="0" w:color="auto"/>
      </w:divBdr>
    </w:div>
    <w:div w:id="1601449593">
      <w:bodyDiv w:val="1"/>
      <w:marLeft w:val="0"/>
      <w:marRight w:val="0"/>
      <w:marTop w:val="0"/>
      <w:marBottom w:val="0"/>
      <w:divBdr>
        <w:top w:val="none" w:sz="0" w:space="0" w:color="auto"/>
        <w:left w:val="none" w:sz="0" w:space="0" w:color="auto"/>
        <w:bottom w:val="none" w:sz="0" w:space="0" w:color="auto"/>
        <w:right w:val="none" w:sz="0" w:space="0" w:color="auto"/>
      </w:divBdr>
      <w:divsChild>
        <w:div w:id="2017419733">
          <w:marLeft w:val="0"/>
          <w:marRight w:val="0"/>
          <w:marTop w:val="0"/>
          <w:marBottom w:val="0"/>
          <w:divBdr>
            <w:top w:val="none" w:sz="0" w:space="0" w:color="auto"/>
            <w:left w:val="none" w:sz="0" w:space="0" w:color="auto"/>
            <w:bottom w:val="none" w:sz="0" w:space="0" w:color="auto"/>
            <w:right w:val="none" w:sz="0" w:space="0" w:color="auto"/>
          </w:divBdr>
        </w:div>
      </w:divsChild>
    </w:div>
    <w:div w:id="1663318129">
      <w:bodyDiv w:val="1"/>
      <w:marLeft w:val="0"/>
      <w:marRight w:val="0"/>
      <w:marTop w:val="0"/>
      <w:marBottom w:val="0"/>
      <w:divBdr>
        <w:top w:val="none" w:sz="0" w:space="0" w:color="auto"/>
        <w:left w:val="none" w:sz="0" w:space="0" w:color="auto"/>
        <w:bottom w:val="none" w:sz="0" w:space="0" w:color="auto"/>
        <w:right w:val="none" w:sz="0" w:space="0" w:color="auto"/>
      </w:divBdr>
    </w:div>
    <w:div w:id="1672290380">
      <w:bodyDiv w:val="1"/>
      <w:marLeft w:val="0"/>
      <w:marRight w:val="0"/>
      <w:marTop w:val="0"/>
      <w:marBottom w:val="0"/>
      <w:divBdr>
        <w:top w:val="none" w:sz="0" w:space="0" w:color="auto"/>
        <w:left w:val="none" w:sz="0" w:space="0" w:color="auto"/>
        <w:bottom w:val="none" w:sz="0" w:space="0" w:color="auto"/>
        <w:right w:val="none" w:sz="0" w:space="0" w:color="auto"/>
      </w:divBdr>
      <w:divsChild>
        <w:div w:id="87701120">
          <w:marLeft w:val="0"/>
          <w:marRight w:val="0"/>
          <w:marTop w:val="0"/>
          <w:marBottom w:val="0"/>
          <w:divBdr>
            <w:top w:val="none" w:sz="0" w:space="0" w:color="auto"/>
            <w:left w:val="none" w:sz="0" w:space="0" w:color="auto"/>
            <w:bottom w:val="none" w:sz="0" w:space="0" w:color="auto"/>
            <w:right w:val="none" w:sz="0" w:space="0" w:color="auto"/>
          </w:divBdr>
          <w:divsChild>
            <w:div w:id="1030956595">
              <w:marLeft w:val="0"/>
              <w:marRight w:val="0"/>
              <w:marTop w:val="0"/>
              <w:marBottom w:val="0"/>
              <w:divBdr>
                <w:top w:val="none" w:sz="0" w:space="0" w:color="auto"/>
                <w:left w:val="none" w:sz="0" w:space="0" w:color="auto"/>
                <w:bottom w:val="none" w:sz="0" w:space="0" w:color="auto"/>
                <w:right w:val="none" w:sz="0" w:space="0" w:color="auto"/>
              </w:divBdr>
              <w:divsChild>
                <w:div w:id="208405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368603">
      <w:bodyDiv w:val="1"/>
      <w:marLeft w:val="0"/>
      <w:marRight w:val="0"/>
      <w:marTop w:val="0"/>
      <w:marBottom w:val="0"/>
      <w:divBdr>
        <w:top w:val="none" w:sz="0" w:space="0" w:color="auto"/>
        <w:left w:val="none" w:sz="0" w:space="0" w:color="auto"/>
        <w:bottom w:val="none" w:sz="0" w:space="0" w:color="auto"/>
        <w:right w:val="none" w:sz="0" w:space="0" w:color="auto"/>
      </w:divBdr>
    </w:div>
    <w:div w:id="1799032613">
      <w:bodyDiv w:val="1"/>
      <w:marLeft w:val="0"/>
      <w:marRight w:val="0"/>
      <w:marTop w:val="0"/>
      <w:marBottom w:val="0"/>
      <w:divBdr>
        <w:top w:val="none" w:sz="0" w:space="0" w:color="auto"/>
        <w:left w:val="none" w:sz="0" w:space="0" w:color="auto"/>
        <w:bottom w:val="none" w:sz="0" w:space="0" w:color="auto"/>
        <w:right w:val="none" w:sz="0" w:space="0" w:color="auto"/>
      </w:divBdr>
    </w:div>
    <w:div w:id="1862085771">
      <w:bodyDiv w:val="1"/>
      <w:marLeft w:val="0"/>
      <w:marRight w:val="0"/>
      <w:marTop w:val="0"/>
      <w:marBottom w:val="0"/>
      <w:divBdr>
        <w:top w:val="none" w:sz="0" w:space="0" w:color="auto"/>
        <w:left w:val="none" w:sz="0" w:space="0" w:color="auto"/>
        <w:bottom w:val="none" w:sz="0" w:space="0" w:color="auto"/>
        <w:right w:val="none" w:sz="0" w:space="0" w:color="auto"/>
      </w:divBdr>
    </w:div>
    <w:div w:id="1887377853">
      <w:bodyDiv w:val="1"/>
      <w:marLeft w:val="0"/>
      <w:marRight w:val="0"/>
      <w:marTop w:val="0"/>
      <w:marBottom w:val="0"/>
      <w:divBdr>
        <w:top w:val="none" w:sz="0" w:space="0" w:color="auto"/>
        <w:left w:val="none" w:sz="0" w:space="0" w:color="auto"/>
        <w:bottom w:val="none" w:sz="0" w:space="0" w:color="auto"/>
        <w:right w:val="none" w:sz="0" w:space="0" w:color="auto"/>
      </w:divBdr>
    </w:div>
    <w:div w:id="2117672407">
      <w:bodyDiv w:val="1"/>
      <w:marLeft w:val="0"/>
      <w:marRight w:val="0"/>
      <w:marTop w:val="0"/>
      <w:marBottom w:val="0"/>
      <w:divBdr>
        <w:top w:val="none" w:sz="0" w:space="0" w:color="auto"/>
        <w:left w:val="none" w:sz="0" w:space="0" w:color="auto"/>
        <w:bottom w:val="none" w:sz="0" w:space="0" w:color="auto"/>
        <w:right w:val="none" w:sz="0" w:space="0" w:color="auto"/>
      </w:divBdr>
    </w:div>
    <w:div w:id="212815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ess@hraf.g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radf.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46FD712F9DA94B81ACDD4493C5A170" ma:contentTypeVersion="" ma:contentTypeDescription="Create a new document." ma:contentTypeScope="" ma:versionID="08d86085cc11a797d1c9b835695f7075">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E05C7D-B734-4FC5-83AF-6955790D3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ACBD90B-DAA5-4AEA-8F8D-AA5B99903223}">
  <ds:schemaRefs>
    <ds:schemaRef ds:uri="http://schemas.openxmlformats.org/officeDocument/2006/bibliography"/>
  </ds:schemaRefs>
</ds:datastoreItem>
</file>

<file path=customXml/itemProps3.xml><?xml version="1.0" encoding="utf-8"?>
<ds:datastoreItem xmlns:ds="http://schemas.openxmlformats.org/officeDocument/2006/customXml" ds:itemID="{89AA0D2A-BAFE-49AB-93CB-BFFE09A43021}">
  <ds:schemaRefs>
    <ds:schemaRef ds:uri="http://schemas.microsoft.com/office/2006/metadata/properties"/>
  </ds:schemaRefs>
</ds:datastoreItem>
</file>

<file path=customXml/itemProps4.xml><?xml version="1.0" encoding="utf-8"?>
<ds:datastoreItem xmlns:ds="http://schemas.openxmlformats.org/officeDocument/2006/customXml" ds:itemID="{A9667D64-0C13-45DD-8E9C-82F8244C76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2284</Words>
  <Characters>13024</Characters>
  <Application>Microsoft Office Word</Application>
  <DocSecurity>0</DocSecurity>
  <Lines>108</Lines>
  <Paragraphs>30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15278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Harry Amilidis</dc:creator>
  <cp:lastModifiedBy>Achilleas Topas</cp:lastModifiedBy>
  <cp:revision>3</cp:revision>
  <cp:lastPrinted>2017-04-25T11:45:00Z</cp:lastPrinted>
  <dcterms:created xsi:type="dcterms:W3CDTF">2023-12-08T08:45:00Z</dcterms:created>
  <dcterms:modified xsi:type="dcterms:W3CDTF">2023-12-08T09:08:00Z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0x010100FB46FD712F9DA94B81ACDD4493C5A170</vt:lpwstr>
  </property>
  <property fmtid="{D5CDD505-2E9C-101B-9397-08002B2CF9AE}" pid="3" name="MSIP_Label_4a1cc303-c827-4bc8-8096-cfbe6c892f41_Enabled">
    <vt:lpwstr>true</vt:lpwstr>
  </property>
  <property fmtid="{D5CDD505-2E9C-101B-9397-08002B2CF9AE}" pid="4" name="MSIP_Label_4a1cc303-c827-4bc8-8096-cfbe6c892f41_SetDate">
    <vt:lpwstr>2023-07-17T12:58:00Z</vt:lpwstr>
  </property>
  <property fmtid="{D5CDD505-2E9C-101B-9397-08002B2CF9AE}" pid="5" name="MSIP_Label_4a1cc303-c827-4bc8-8096-cfbe6c892f41_Method">
    <vt:lpwstr>Standard</vt:lpwstr>
  </property>
  <property fmtid="{D5CDD505-2E9C-101B-9397-08002B2CF9AE}" pid="6" name="MSIP_Label_4a1cc303-c827-4bc8-8096-cfbe6c892f41_Name">
    <vt:lpwstr>Public</vt:lpwstr>
  </property>
  <property fmtid="{D5CDD505-2E9C-101B-9397-08002B2CF9AE}" pid="7" name="MSIP_Label_4a1cc303-c827-4bc8-8096-cfbe6c892f41_SiteId">
    <vt:lpwstr>2b0fc7ca-0745-42be-85de-e8eb8234033e</vt:lpwstr>
  </property>
  <property fmtid="{D5CDD505-2E9C-101B-9397-08002B2CF9AE}" pid="8" name="MSIP_Label_4a1cc303-c827-4bc8-8096-cfbe6c892f41_ActionId">
    <vt:lpwstr>271788bc-e648-4085-b764-95c940afd13f</vt:lpwstr>
  </property>
  <property fmtid="{D5CDD505-2E9C-101B-9397-08002B2CF9AE}" pid="9" name="MSIP_Label_4a1cc303-c827-4bc8-8096-cfbe6c892f41_ContentBits">
    <vt:lpwstr>0</vt:lpwstr>
  </property>
</Properties>
</file>