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4318" w14:textId="77777777" w:rsidR="000A6701" w:rsidRDefault="000A6701"/>
    <w:p w14:paraId="6E3000D5" w14:textId="6C87E159" w:rsidR="00B0731D" w:rsidRDefault="00B0731D" w:rsidP="00B0731D">
      <w:pPr>
        <w:jc w:val="right"/>
        <w:rPr>
          <w:rFonts w:ascii="Calibri" w:hAnsi="Calibri" w:cs="Calibri"/>
        </w:rPr>
      </w:pPr>
      <w:r>
        <w:t xml:space="preserve">                     </w:t>
      </w:r>
      <w:r>
        <w:rPr>
          <w:rFonts w:ascii="Calibri" w:hAnsi="Calibri" w:cs="Calibri"/>
        </w:rPr>
        <w:t xml:space="preserve">Athens, </w:t>
      </w:r>
      <w:r w:rsidR="00242BC6">
        <w:rPr>
          <w:rFonts w:ascii="Calibri" w:hAnsi="Calibri" w:cs="Calibri"/>
        </w:rPr>
        <w:t>March</w:t>
      </w:r>
      <w:r>
        <w:rPr>
          <w:rFonts w:ascii="Calibri" w:hAnsi="Calibri" w:cs="Calibri"/>
        </w:rPr>
        <w:t xml:space="preserve"> </w:t>
      </w:r>
      <w:r w:rsidR="00242BC6">
        <w:rPr>
          <w:rFonts w:ascii="Calibri" w:hAnsi="Calibri" w:cs="Calibri"/>
        </w:rPr>
        <w:t>11</w:t>
      </w:r>
      <w:r>
        <w:rPr>
          <w:rFonts w:ascii="Calibri" w:hAnsi="Calibri" w:cs="Calibri"/>
        </w:rPr>
        <w:t>, 2024</w:t>
      </w:r>
    </w:p>
    <w:p w14:paraId="786A3CD5" w14:textId="77777777" w:rsidR="00B0731D" w:rsidRPr="00B0731D" w:rsidRDefault="00B0731D" w:rsidP="00B0731D">
      <w:pPr>
        <w:jc w:val="center"/>
        <w:rPr>
          <w:rFonts w:ascii="Calibri" w:hAnsi="Calibri" w:cs="Calibri"/>
          <w:b/>
          <w:bCs/>
        </w:rPr>
      </w:pPr>
      <w:r w:rsidRPr="00B0731D">
        <w:rPr>
          <w:rFonts w:ascii="Calibri" w:hAnsi="Calibri" w:cs="Calibri"/>
          <w:b/>
          <w:bCs/>
        </w:rPr>
        <w:t>PRESS RELEASE</w:t>
      </w:r>
    </w:p>
    <w:p w14:paraId="1EACA3CD" w14:textId="2370C190" w:rsidR="00B0731D" w:rsidRDefault="00B0731D" w:rsidP="00242BC6">
      <w:pPr>
        <w:jc w:val="center"/>
        <w:rPr>
          <w:rFonts w:ascii="Calibri" w:hAnsi="Calibri" w:cs="Calibri"/>
          <w:b/>
          <w:bCs/>
        </w:rPr>
      </w:pPr>
      <w:r w:rsidRPr="00DA280A">
        <w:rPr>
          <w:rFonts w:ascii="Calibri" w:hAnsi="Calibri" w:cs="Calibri"/>
          <w:b/>
          <w:bCs/>
        </w:rPr>
        <w:t xml:space="preserve">HRADF: </w:t>
      </w:r>
      <w:bookmarkStart w:id="0" w:name="_Hlk155785706"/>
      <w:r w:rsidR="00DA280A" w:rsidRPr="00DA280A">
        <w:rPr>
          <w:rFonts w:ascii="Calibri" w:hAnsi="Calibri" w:cs="Calibri"/>
          <w:b/>
          <w:bCs/>
        </w:rPr>
        <w:t>Launch</w:t>
      </w:r>
      <w:r w:rsidR="00242BC6" w:rsidRPr="00DA280A">
        <w:rPr>
          <w:rFonts w:ascii="Calibri" w:hAnsi="Calibri" w:cs="Calibri"/>
          <w:b/>
          <w:bCs/>
        </w:rPr>
        <w:t xml:space="preserve"> of</w:t>
      </w:r>
      <w:r w:rsidR="008E6B1F">
        <w:rPr>
          <w:rFonts w:ascii="Calibri" w:hAnsi="Calibri" w:cs="Calibri"/>
          <w:b/>
          <w:bCs/>
        </w:rPr>
        <w:t xml:space="preserve"> the</w:t>
      </w:r>
      <w:r w:rsidR="00242BC6" w:rsidRPr="00DA280A">
        <w:rPr>
          <w:rFonts w:ascii="Calibri" w:hAnsi="Calibri" w:cs="Calibri"/>
          <w:b/>
          <w:bCs/>
        </w:rPr>
        <w:t xml:space="preserve"> </w:t>
      </w:r>
      <w:r w:rsidR="008E6B1F">
        <w:rPr>
          <w:rFonts w:ascii="Calibri" w:hAnsi="Calibri" w:cs="Calibri"/>
          <w:b/>
          <w:bCs/>
        </w:rPr>
        <w:t>international t</w:t>
      </w:r>
      <w:r w:rsidR="00242BC6" w:rsidRPr="00DA280A">
        <w:rPr>
          <w:rFonts w:ascii="Calibri" w:hAnsi="Calibri" w:cs="Calibri"/>
          <w:b/>
          <w:bCs/>
        </w:rPr>
        <w:t>ender</w:t>
      </w:r>
      <w:r w:rsidR="008E6B1F">
        <w:rPr>
          <w:rFonts w:ascii="Calibri" w:hAnsi="Calibri" w:cs="Calibri"/>
          <w:b/>
          <w:bCs/>
        </w:rPr>
        <w:t xml:space="preserve"> for the development of the property in</w:t>
      </w:r>
      <w:r w:rsidR="00242BC6" w:rsidRPr="00DA280A">
        <w:rPr>
          <w:rFonts w:ascii="Calibri" w:hAnsi="Calibri" w:cs="Calibri"/>
          <w:b/>
          <w:bCs/>
        </w:rPr>
        <w:t xml:space="preserve"> Agia Triada</w:t>
      </w:r>
      <w:r w:rsidR="008E6B1F">
        <w:rPr>
          <w:rFonts w:ascii="Calibri" w:hAnsi="Calibri" w:cs="Calibri"/>
          <w:b/>
          <w:bCs/>
        </w:rPr>
        <w:t xml:space="preserve">, </w:t>
      </w:r>
      <w:r w:rsidR="00242BC6" w:rsidRPr="00DA280A">
        <w:rPr>
          <w:rFonts w:ascii="Calibri" w:hAnsi="Calibri" w:cs="Calibri"/>
          <w:b/>
          <w:bCs/>
        </w:rPr>
        <w:t>Municipality of Nea Thermaikos</w:t>
      </w:r>
      <w:r w:rsidR="008E6B1F">
        <w:rPr>
          <w:rFonts w:ascii="Calibri" w:hAnsi="Calibri" w:cs="Calibri"/>
          <w:b/>
          <w:bCs/>
        </w:rPr>
        <w:t>,</w:t>
      </w:r>
      <w:r w:rsidR="00242BC6" w:rsidRPr="00DA280A">
        <w:rPr>
          <w:rFonts w:ascii="Calibri" w:hAnsi="Calibri" w:cs="Calibri"/>
          <w:b/>
          <w:bCs/>
        </w:rPr>
        <w:t xml:space="preserve"> in Thessaloniki</w:t>
      </w:r>
    </w:p>
    <w:bookmarkEnd w:id="0"/>
    <w:p w14:paraId="013BCFC6" w14:textId="08CB8BB1" w:rsidR="00242BC6" w:rsidRPr="00242BC6" w:rsidRDefault="008E6B1F" w:rsidP="008E6B1F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The Hellenic Republic Asset Development Fund, 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>a member company of GROWTHFUND – The National Fund of Greece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, announces</w:t>
      </w:r>
      <w:r w:rsidR="00DA280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the launch of the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international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t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ender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for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the 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development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 </w:t>
      </w:r>
      <w:bookmarkStart w:id="1" w:name="_Hlk9527188"/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the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bookmarkEnd w:id="1"/>
      <w:r>
        <w:rPr>
          <w:rFonts w:ascii="Calibri" w:eastAsia="Calibri" w:hAnsi="Calibri" w:cs="Times New Roman"/>
          <w:kern w:val="0"/>
          <w:lang w:bidi="ar-SA"/>
          <w14:ligatures w14:val="none"/>
        </w:rPr>
        <w:t>property (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plot of land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) with a total area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 161.456,84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square meters, located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in Agia Triada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Municipality of Thermaikos in the 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Prefecture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 Thessaloniki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. </w:t>
      </w:r>
    </w:p>
    <w:p w14:paraId="64A4FD1E" w14:textId="77777777" w:rsidR="00242BC6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31661DD4" w14:textId="56192678" w:rsidR="008E6B1F" w:rsidRDefault="008E6B1F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A Spatial Development Plan (ESCHADA) has been prepared f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or the property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and has been submitted for approval to the 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Council of State. According to the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Spatial Development Plan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the 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property can be developed in </w:t>
      </w:r>
      <w:r w:rsidR="00EC760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two zones. </w:t>
      </w:r>
    </w:p>
    <w:p w14:paraId="787DA7CB" w14:textId="77777777" w:rsidR="008E6B1F" w:rsidRDefault="008E6B1F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</w:pPr>
    </w:p>
    <w:p w14:paraId="63C93B61" w14:textId="28E4720A" w:rsidR="00242BC6" w:rsidRPr="00DA280A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</w:pPr>
      <w:r w:rsidRPr="00DA280A"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  <w:t xml:space="preserve">Zone I </w:t>
      </w:r>
      <w:r w:rsidR="00EC7609"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  <w:t>– suitable for the development of a “</w:t>
      </w:r>
      <w:r w:rsidR="005D0699"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  <w:t>Tourism</w:t>
      </w:r>
      <w:r w:rsidRPr="00DA280A"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  <w:t xml:space="preserve"> Village"</w:t>
      </w:r>
    </w:p>
    <w:p w14:paraId="0BA7E48B" w14:textId="13E82976" w:rsidR="005D0699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Zone I has a total area of 101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,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924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61 s</w:t>
      </w:r>
      <w:r w:rsidR="00EC7609">
        <w:rPr>
          <w:rFonts w:ascii="Calibri" w:eastAsia="Calibri" w:hAnsi="Calibri" w:cs="Times New Roman"/>
          <w:kern w:val="0"/>
          <w:lang w:bidi="ar-SA"/>
          <w14:ligatures w14:val="none"/>
        </w:rPr>
        <w:t>quare meters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and 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consists of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two parts, namely the northern and the southern part</w:t>
      </w:r>
      <w:r w:rsidR="00EC7609">
        <w:rPr>
          <w:rFonts w:ascii="Calibri" w:eastAsia="Calibri" w:hAnsi="Calibri" w:cs="Times New Roman"/>
          <w:kern w:val="0"/>
          <w:lang w:bidi="ar-SA"/>
          <w14:ligatures w14:val="none"/>
        </w:rPr>
        <w:t>, separated by the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provincial road of Thessaloniki - Nea Michaniona. 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In t</w:t>
      </w:r>
      <w:r w:rsidR="00EC760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he 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northern part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, which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covers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an area of 86,299.22 sq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uare 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m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eters, hospitality, sports and commercial facilities can be developed. According to the Spatial Plan, an area of approximately 4 acres will be</w:t>
      </w:r>
      <w:r w:rsidR="005D0699" w:rsidRP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allocated to the Municipality of </w:t>
      </w:r>
      <w:r w:rsidR="005D0699" w:rsidRPr="00242BC6">
        <w:rPr>
          <w:rFonts w:ascii="Calibri" w:eastAsia="Calibri" w:hAnsi="Calibri" w:cs="Times New Roman"/>
          <w:kern w:val="0"/>
          <w:lang w:bidi="ar-SA"/>
          <w14:ligatures w14:val="none"/>
        </w:rPr>
        <w:t>Thermaikos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for the construction of a school complex. </w:t>
      </w:r>
    </w:p>
    <w:p w14:paraId="1E0E82DC" w14:textId="77777777" w:rsidR="00242BC6" w:rsidRPr="00242BC6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2F8FFAA4" w14:textId="5EF7B05D" w:rsidR="00242BC6" w:rsidRPr="00DA280A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</w:pPr>
      <w:r w:rsidRPr="00DA280A">
        <w:rPr>
          <w:rFonts w:ascii="Calibri" w:eastAsia="Calibri" w:hAnsi="Calibri" w:cs="Times New Roman"/>
          <w:b/>
          <w:bCs/>
          <w:kern w:val="0"/>
          <w:lang w:bidi="ar-SA"/>
          <w14:ligatures w14:val="none"/>
        </w:rPr>
        <w:t>Zone II "Tourism - Recreation"</w:t>
      </w:r>
    </w:p>
    <w:p w14:paraId="29144641" w14:textId="77777777" w:rsidR="00A935AD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Zone II has an area of 37,053.74 sq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uare 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m</w:t>
      </w:r>
      <w:r w:rsidR="005D0699">
        <w:rPr>
          <w:rFonts w:ascii="Calibri" w:eastAsia="Calibri" w:hAnsi="Calibri" w:cs="Times New Roman"/>
          <w:kern w:val="0"/>
          <w:lang w:bidi="ar-SA"/>
          <w14:ligatures w14:val="none"/>
        </w:rPr>
        <w:t>eters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bordered on the west by 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>Z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one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I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, on the north by the beach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and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on the south by 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 xml:space="preserve">the </w:t>
      </w:r>
      <w:r w:rsidR="00A935AD" w:rsidRPr="00242BC6">
        <w:rPr>
          <w:rFonts w:ascii="Calibri" w:eastAsia="Calibri" w:hAnsi="Calibri" w:cs="Times New Roman"/>
          <w:kern w:val="0"/>
          <w:lang w:bidi="ar-SA"/>
          <w14:ligatures w14:val="none"/>
        </w:rPr>
        <w:t>provincial road of Thessaloniki - Nea Michaniona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. The following specific uses will apply:</w:t>
      </w:r>
    </w:p>
    <w:p w14:paraId="73C0F2CA" w14:textId="4C8B5F8B" w:rsidR="00A935AD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a) Tourist accommodation (main and non-main, composite tourist accommodation, etc.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>)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52978148" w14:textId="19DD42DF" w:rsidR="00A935AD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b) Special touris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>m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infrastructure and other touris</w:t>
      </w:r>
      <w:r w:rsidR="00A935AD">
        <w:rPr>
          <w:rFonts w:ascii="Calibri" w:eastAsia="Calibri" w:hAnsi="Calibri" w:cs="Times New Roman"/>
          <w:kern w:val="0"/>
          <w:lang w:bidi="ar-SA"/>
          <w14:ligatures w14:val="none"/>
        </w:rPr>
        <w:t>m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facilities (conference </w:t>
      </w:r>
      <w:r w:rsidR="00A935AD" w:rsidRPr="00242BC6">
        <w:rPr>
          <w:rFonts w:ascii="Calibri" w:eastAsia="Calibri" w:hAnsi="Calibri" w:cs="Times New Roman"/>
          <w:kern w:val="0"/>
          <w:lang w:bidi="ar-SA"/>
          <w14:ligatures w14:val="none"/>
        </w:rPr>
        <w:t>centers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golf courses, hydrotherapy </w:t>
      </w:r>
      <w:r w:rsidR="00A935AD" w:rsidRPr="00242BC6">
        <w:rPr>
          <w:rFonts w:ascii="Calibri" w:eastAsia="Calibri" w:hAnsi="Calibri" w:cs="Times New Roman"/>
          <w:kern w:val="0"/>
          <w:lang w:bidi="ar-SA"/>
          <w14:ligatures w14:val="none"/>
        </w:rPr>
        <w:t>centers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, etc.)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08D1CB41" w14:textId="585B23A7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c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Sports facilities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411FE4BF" w14:textId="51A8D324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d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Cultural facilities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0DAF99F1" w14:textId="54B8E7F0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e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Religious sites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244BF06D" w14:textId="54A6D68D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f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Places of public assembly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12310FFD" w14:textId="1F81BC70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g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Catering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facilities.</w:t>
      </w:r>
    </w:p>
    <w:p w14:paraId="415FF991" w14:textId="4F26C6AA" w:rsidR="00A935AD" w:rsidRDefault="00447EC2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h</w:t>
      </w:r>
      <w:r w:rsidR="00242BC6"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Refreshment rooms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59A1F3BE" w14:textId="1DA04785" w:rsidR="00A935AD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 xml:space="preserve">i) Recreation and leisure </w:t>
      </w:r>
      <w:r w:rsidR="00A935AD" w:rsidRPr="00242BC6">
        <w:rPr>
          <w:rFonts w:ascii="Calibri" w:eastAsia="Calibri" w:hAnsi="Calibri" w:cs="Times New Roman"/>
          <w:kern w:val="0"/>
          <w:lang w:bidi="ar-SA"/>
          <w14:ligatures w14:val="none"/>
        </w:rPr>
        <w:t>centers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3EF15A84" w14:textId="1653D8BC" w:rsidR="00A935AD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i</w:t>
      </w:r>
      <w:r w:rsidR="00447EC2">
        <w:rPr>
          <w:rFonts w:ascii="Calibri" w:eastAsia="Calibri" w:hAnsi="Calibri" w:cs="Times New Roman"/>
          <w:kern w:val="0"/>
          <w:lang w:bidi="ar-SA"/>
          <w14:ligatures w14:val="none"/>
        </w:rPr>
        <w:t>a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Parking (buildings - stadiums)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342B5E61" w14:textId="4C2A5990" w:rsidR="00242BC6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i</w:t>
      </w:r>
      <w:r w:rsidR="00447EC2">
        <w:rPr>
          <w:rFonts w:ascii="Calibri" w:eastAsia="Calibri" w:hAnsi="Calibri" w:cs="Times New Roman"/>
          <w:kern w:val="0"/>
          <w:lang w:bidi="ar-SA"/>
          <w14:ligatures w14:val="none"/>
        </w:rPr>
        <w:t>b</w:t>
      </w:r>
      <w:r w:rsidRPr="00242BC6">
        <w:rPr>
          <w:rFonts w:ascii="Calibri" w:eastAsia="Calibri" w:hAnsi="Calibri" w:cs="Times New Roman"/>
          <w:kern w:val="0"/>
          <w:lang w:bidi="ar-SA"/>
          <w14:ligatures w14:val="none"/>
        </w:rPr>
        <w:t>) Exhibition facilities</w:t>
      </w:r>
      <w:r w:rsidR="00447EC2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</w:p>
    <w:p w14:paraId="1B7AD230" w14:textId="77777777" w:rsidR="00DA280A" w:rsidRDefault="00DA280A" w:rsidP="00DA280A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7FA37709" w14:textId="69C58D33" w:rsidR="00A935AD" w:rsidRPr="00CC71BA" w:rsidRDefault="00A935AD" w:rsidP="00AE55A3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According to the Spatial Development Plan</w:t>
      </w:r>
      <w:r w:rsidR="00D641CF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1F774C" w:rsidRPr="001F774C">
        <w:rPr>
          <w:rFonts w:ascii="Calibri" w:eastAsia="Calibri" w:hAnsi="Calibri" w:cs="Times New Roman"/>
          <w:kern w:val="0"/>
          <w:lang w:bidi="ar-SA"/>
          <w14:ligatures w14:val="none"/>
        </w:rPr>
        <w:t>a building-free zone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 30 meters</w:t>
      </w:r>
      <w:r w:rsidR="001F774C" w:rsidRPr="001F774C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is ensured along the beach from the shoreline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. 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The property has a long front</w:t>
      </w:r>
      <w:r w:rsidR="0040184E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to the beach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 approximately 500 meters and direct access to the Thessaloniki – Nea Michaniona provincial road. </w:t>
      </w:r>
    </w:p>
    <w:p w14:paraId="3EF580C2" w14:textId="77777777" w:rsidR="00A935AD" w:rsidRPr="00CC71BA" w:rsidRDefault="00A935AD" w:rsidP="00AE55A3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5EFE4713" w14:textId="36F4023A" w:rsidR="00DA280A" w:rsidRPr="00DA280A" w:rsidRDefault="00A935AD" w:rsidP="00CC71BA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The area of 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>Agia</w:t>
      </w:r>
      <w:r w:rsidR="00A933A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>Triada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due to its proximity to the city of 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Thessaloniki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, the 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city’s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International Airport “Makedonia”, and the Chalkidiki Peninsula </w:t>
      </w:r>
      <w:r w:rsidR="00892EB9">
        <w:rPr>
          <w:rFonts w:ascii="Calibri" w:eastAsia="Calibri" w:hAnsi="Calibri" w:cs="Times New Roman"/>
          <w:kern w:val="0"/>
          <w:lang w:bidi="ar-SA"/>
          <w14:ligatures w14:val="none"/>
        </w:rPr>
        <w:t xml:space="preserve">is a popular </w:t>
      </w:r>
      <w:r w:rsidR="00AA2F82">
        <w:rPr>
          <w:rFonts w:ascii="Calibri" w:eastAsia="Calibri" w:hAnsi="Calibri" w:cs="Times New Roman"/>
          <w:kern w:val="0"/>
          <w:lang w:bidi="ar-SA"/>
          <w14:ligatures w14:val="none"/>
        </w:rPr>
        <w:t>recreation and leisure destination</w:t>
      </w:r>
      <w:r w:rsidR="00CC71BA">
        <w:rPr>
          <w:rFonts w:ascii="Calibri" w:eastAsia="Calibri" w:hAnsi="Calibri" w:cs="Times New Roman"/>
          <w:kern w:val="0"/>
          <w:lang w:bidi="ar-SA"/>
          <w14:ligatures w14:val="none"/>
        </w:rPr>
        <w:t>.</w:t>
      </w:r>
      <w:r w:rsidR="00DA280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</w:t>
      </w:r>
    </w:p>
    <w:p w14:paraId="51DE3402" w14:textId="5BF99006" w:rsidR="00DA280A" w:rsidRPr="00DA280A" w:rsidRDefault="00DA280A" w:rsidP="00DA280A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6EE3C7EA" w14:textId="77777777" w:rsidR="00242BC6" w:rsidRPr="00DA280A" w:rsidRDefault="00242BC6" w:rsidP="00242BC6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4F16AE59" w14:textId="57059FA6" w:rsidR="00242BC6" w:rsidRPr="00DA280A" w:rsidRDefault="00242BC6" w:rsidP="00DA280A">
      <w:pPr>
        <w:spacing w:after="120" w:line="240" w:lineRule="auto"/>
        <w:contextualSpacing/>
        <w:jc w:val="both"/>
        <w:rPr>
          <w:rFonts w:ascii="Calibri" w:eastAsia="Calibri" w:hAnsi="Calibri" w:cs="Times New Roman"/>
          <w:kern w:val="0"/>
          <w:lang w:bidi="ar-SA"/>
          <w14:ligatures w14:val="none"/>
        </w:rPr>
      </w:pPr>
      <w:r w:rsidRPr="00DA280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The Tender will take place in </w:t>
      </w:r>
      <w:r w:rsidR="0040184E">
        <w:rPr>
          <w:rFonts w:ascii="Calibri" w:eastAsia="Calibri" w:hAnsi="Calibri" w:cs="Times New Roman"/>
          <w:kern w:val="0"/>
          <w:lang w:bidi="ar-SA"/>
          <w14:ligatures w14:val="none"/>
        </w:rPr>
        <w:t xml:space="preserve">a single </w:t>
      </w:r>
      <w:r w:rsidRPr="00DA280A">
        <w:rPr>
          <w:rFonts w:ascii="Calibri" w:eastAsia="Calibri" w:hAnsi="Calibri" w:cs="Times New Roman"/>
          <w:kern w:val="0"/>
          <w:lang w:bidi="ar-SA"/>
          <w14:ligatures w14:val="none"/>
        </w:rPr>
        <w:t>phase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and the deadline </w:t>
      </w:r>
      <w:r w:rsidR="0040184E">
        <w:rPr>
          <w:rFonts w:ascii="Calibri" w:eastAsia="Calibri" w:hAnsi="Calibri" w:cs="Times New Roman"/>
          <w:kern w:val="0"/>
          <w:lang w:bidi="ar-SA"/>
          <w14:ligatures w14:val="none"/>
        </w:rPr>
        <w:t>for the submission of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 xml:space="preserve"> offers </w:t>
      </w:r>
      <w:r w:rsidR="0040184E">
        <w:rPr>
          <w:rFonts w:ascii="Calibri" w:eastAsia="Calibri" w:hAnsi="Calibri" w:cs="Times New Roman"/>
          <w:kern w:val="0"/>
          <w:lang w:bidi="ar-SA"/>
          <w14:ligatures w14:val="none"/>
        </w:rPr>
        <w:t xml:space="preserve">is set on June 13, </w:t>
      </w:r>
      <w:r w:rsidR="00DA280A" w:rsidRPr="00DA280A">
        <w:rPr>
          <w:rFonts w:ascii="Calibri" w:eastAsia="Calibri" w:hAnsi="Calibri" w:cs="Times New Roman"/>
          <w:kern w:val="0"/>
          <w:lang w:bidi="ar-SA"/>
          <w14:ligatures w14:val="none"/>
        </w:rPr>
        <w:t>2024.</w:t>
      </w:r>
    </w:p>
    <w:p w14:paraId="534F904C" w14:textId="31E771F8" w:rsidR="00B3118A" w:rsidRPr="00DA280A" w:rsidRDefault="00B3118A" w:rsidP="00DA280A">
      <w:pPr>
        <w:spacing w:line="240" w:lineRule="auto"/>
        <w:jc w:val="both"/>
        <w:rPr>
          <w:rFonts w:ascii="Calibri" w:hAnsi="Calibri" w:cs="Calibri"/>
          <w:b/>
          <w:color w:val="000000"/>
        </w:rPr>
      </w:pPr>
    </w:p>
    <w:p w14:paraId="6C5E629A" w14:textId="77777777" w:rsidR="00BF130B" w:rsidRPr="00DA280A" w:rsidRDefault="00BF130B" w:rsidP="00DA280A">
      <w:pPr>
        <w:spacing w:line="240" w:lineRule="auto"/>
        <w:jc w:val="both"/>
        <w:rPr>
          <w:rFonts w:ascii="Calibri" w:hAnsi="Calibri" w:cs="Calibri"/>
          <w:bCs/>
          <w:color w:val="000000"/>
        </w:rPr>
      </w:pPr>
    </w:p>
    <w:p w14:paraId="2B720EA6" w14:textId="77777777" w:rsidR="0040184E" w:rsidRDefault="0040184E" w:rsidP="00BF130B">
      <w:pPr>
        <w:jc w:val="both"/>
        <w:rPr>
          <w:rFonts w:ascii="Calibri" w:hAnsi="Calibri" w:cs="Calibri"/>
          <w:sz w:val="20"/>
          <w:szCs w:val="20"/>
        </w:rPr>
      </w:pPr>
    </w:p>
    <w:p w14:paraId="479E0298" w14:textId="0DCA7834" w:rsidR="00BF130B" w:rsidRPr="00BF130B" w:rsidRDefault="00BF130B" w:rsidP="00BF130B">
      <w:pPr>
        <w:jc w:val="both"/>
        <w:rPr>
          <w:rFonts w:ascii="Calibri" w:eastAsia="Times New Roman" w:hAnsi="Calibri" w:cs="Calibri"/>
          <w:bCs/>
          <w:sz w:val="20"/>
          <w:szCs w:val="20"/>
          <w:lang w:val="en-GB"/>
        </w:rPr>
      </w:pPr>
      <w:r w:rsidRPr="00BF130B">
        <w:rPr>
          <w:rFonts w:ascii="Calibri" w:hAnsi="Calibri" w:cs="Calibri"/>
          <w:sz w:val="20"/>
          <w:szCs w:val="20"/>
        </w:rPr>
        <w:t xml:space="preserve">Please refer to the Fund's </w:t>
      </w:r>
      <w:hyperlink r:id="rId7" w:history="1">
        <w:r w:rsidRPr="00BF130B">
          <w:rPr>
            <w:rStyle w:val="Hyperlink"/>
            <w:rFonts w:ascii="Calibri" w:hAnsi="Calibri" w:cs="Calibri"/>
            <w:sz w:val="20"/>
            <w:szCs w:val="20"/>
          </w:rPr>
          <w:t>website</w:t>
        </w:r>
      </w:hyperlink>
      <w:r w:rsidRPr="00BF130B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</w:t>
      </w:r>
      <w:r w:rsidRPr="00BF130B">
        <w:rPr>
          <w:rFonts w:ascii="Calibri" w:hAnsi="Calibri" w:cs="Calibri"/>
          <w:sz w:val="20"/>
          <w:szCs w:val="20"/>
          <w:lang w:val="en-GB"/>
        </w:rPr>
        <w:t>).</w:t>
      </w:r>
    </w:p>
    <w:p w14:paraId="13D649E7" w14:textId="77777777" w:rsidR="00BF130B" w:rsidRPr="00BF130B" w:rsidRDefault="00BF130B" w:rsidP="00BF130B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BF130B">
        <w:rPr>
          <w:rFonts w:ascii="Calibri" w:hAnsi="Calibri" w:cs="Calibri"/>
          <w:b/>
          <w:sz w:val="20"/>
          <w:szCs w:val="20"/>
        </w:rPr>
        <w:t>Information for the Press:</w:t>
      </w:r>
      <w:r w:rsidRPr="00BF130B">
        <w:rPr>
          <w:rFonts w:ascii="Calibri" w:hAnsi="Calibri" w:cs="Calibri"/>
          <w:sz w:val="20"/>
          <w:szCs w:val="20"/>
        </w:rPr>
        <w:t xml:space="preserve">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Αchilleas Topas</w:t>
      </w:r>
      <w:r w:rsidRPr="00BF130B">
        <w:rPr>
          <w:rFonts w:ascii="Calibri" w:hAnsi="Calibri" w:cs="Calibri"/>
          <w:sz w:val="20"/>
          <w:szCs w:val="20"/>
        </w:rPr>
        <w:t xml:space="preserve">, Τel </w:t>
      </w:r>
      <w:r w:rsidRPr="00BF130B">
        <w:rPr>
          <w:rFonts w:ascii="Calibri" w:hAnsi="Calibri" w:cs="Calibri"/>
          <w:color w:val="000000" w:themeColor="text1"/>
          <w:sz w:val="20"/>
          <w:szCs w:val="20"/>
        </w:rPr>
        <w:t>+30 6944902085</w:t>
      </w:r>
      <w:r w:rsidRPr="00BF130B">
        <w:rPr>
          <w:rFonts w:ascii="Calibri" w:hAnsi="Calibri" w:cs="Calibri"/>
          <w:sz w:val="20"/>
          <w:szCs w:val="20"/>
        </w:rPr>
        <w:t xml:space="preserve">, Email </w:t>
      </w:r>
      <w:hyperlink r:id="rId8" w:history="1">
        <w:r w:rsidRPr="00BF130B">
          <w:rPr>
            <w:rStyle w:val="Hyperlink"/>
            <w:rFonts w:ascii="Calibri" w:hAnsi="Calibri" w:cs="Calibri"/>
            <w:sz w:val="20"/>
            <w:szCs w:val="20"/>
          </w:rPr>
          <w:t>press@hraf.gr</w:t>
        </w:r>
      </w:hyperlink>
      <w:r w:rsidRPr="00BF130B">
        <w:rPr>
          <w:rFonts w:ascii="Calibri" w:hAnsi="Calibri" w:cs="Calibri"/>
          <w:sz w:val="20"/>
          <w:szCs w:val="20"/>
        </w:rPr>
        <w:t xml:space="preserve"> &amp; </w:t>
      </w:r>
      <w:r w:rsidRPr="00BF130B">
        <w:rPr>
          <w:rStyle w:val="Hyperlink"/>
          <w:rFonts w:ascii="Calibri" w:hAnsi="Calibri" w:cs="Calibri"/>
          <w:sz w:val="20"/>
          <w:szCs w:val="20"/>
        </w:rPr>
        <w:t>atopas@hraf.gr</w:t>
      </w:r>
    </w:p>
    <w:p w14:paraId="2CC4BA89" w14:textId="77777777" w:rsidR="000B0204" w:rsidRPr="009C594A" w:rsidRDefault="000B0204" w:rsidP="00334A22">
      <w:pPr>
        <w:pStyle w:val="ListParagraph"/>
        <w:spacing w:line="240" w:lineRule="auto"/>
        <w:jc w:val="both"/>
        <w:rPr>
          <w:rFonts w:ascii="Calibri" w:hAnsi="Calibri" w:cs="Calibri"/>
          <w:bCs/>
          <w:color w:val="000000"/>
        </w:rPr>
      </w:pPr>
    </w:p>
    <w:p w14:paraId="5D900059" w14:textId="77777777" w:rsidR="00B0731D" w:rsidRPr="009C594A" w:rsidRDefault="00B0731D" w:rsidP="00B0731D">
      <w:pPr>
        <w:jc w:val="both"/>
        <w:rPr>
          <w:rFonts w:ascii="Calibri" w:hAnsi="Calibri" w:cs="Calibri"/>
        </w:rPr>
      </w:pPr>
    </w:p>
    <w:sectPr w:rsidR="00B0731D" w:rsidRPr="009C594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2169" w14:textId="77777777" w:rsidR="001A5DE2" w:rsidRDefault="001A5DE2" w:rsidP="00B0731D">
      <w:pPr>
        <w:spacing w:after="0" w:line="240" w:lineRule="auto"/>
      </w:pPr>
      <w:r>
        <w:separator/>
      </w:r>
    </w:p>
  </w:endnote>
  <w:endnote w:type="continuationSeparator" w:id="0">
    <w:p w14:paraId="26648DD2" w14:textId="77777777" w:rsidR="001A5DE2" w:rsidRDefault="001A5DE2" w:rsidP="00B0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4F0C" w14:textId="77777777" w:rsidR="001A5DE2" w:rsidRDefault="001A5DE2" w:rsidP="00B0731D">
      <w:pPr>
        <w:spacing w:after="0" w:line="240" w:lineRule="auto"/>
      </w:pPr>
      <w:r>
        <w:separator/>
      </w:r>
    </w:p>
  </w:footnote>
  <w:footnote w:type="continuationSeparator" w:id="0">
    <w:p w14:paraId="35FABADA" w14:textId="77777777" w:rsidR="001A5DE2" w:rsidRDefault="001A5DE2" w:rsidP="00B0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66D6" w14:textId="5EE3DB41" w:rsidR="00B0731D" w:rsidRDefault="00B0731D" w:rsidP="00B0731D">
    <w:pPr>
      <w:pStyle w:val="Header"/>
      <w:jc w:val="center"/>
    </w:pPr>
    <w:r>
      <w:rPr>
        <w:noProof/>
      </w:rPr>
      <w:drawing>
        <wp:inline distT="0" distB="0" distL="0" distR="0" wp14:anchorId="6ECA1AA6" wp14:editId="5A6D5162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A44BD"/>
    <w:multiLevelType w:val="hybridMultilevel"/>
    <w:tmpl w:val="4E8C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3D02"/>
    <w:multiLevelType w:val="hybridMultilevel"/>
    <w:tmpl w:val="CF407C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2913">
    <w:abstractNumId w:val="0"/>
  </w:num>
  <w:num w:numId="2" w16cid:durableId="135280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1D"/>
    <w:rsid w:val="00043A35"/>
    <w:rsid w:val="000530A0"/>
    <w:rsid w:val="00067ECA"/>
    <w:rsid w:val="000A6701"/>
    <w:rsid w:val="000B0204"/>
    <w:rsid w:val="000B110C"/>
    <w:rsid w:val="000B3F25"/>
    <w:rsid w:val="000D5E9B"/>
    <w:rsid w:val="000D7BA8"/>
    <w:rsid w:val="001107B3"/>
    <w:rsid w:val="00112729"/>
    <w:rsid w:val="00165459"/>
    <w:rsid w:val="001A0524"/>
    <w:rsid w:val="001A5DE2"/>
    <w:rsid w:val="001D1BE2"/>
    <w:rsid w:val="001E1399"/>
    <w:rsid w:val="001F774C"/>
    <w:rsid w:val="0020775A"/>
    <w:rsid w:val="00220C72"/>
    <w:rsid w:val="00222A82"/>
    <w:rsid w:val="00242BC6"/>
    <w:rsid w:val="0026121E"/>
    <w:rsid w:val="00281F40"/>
    <w:rsid w:val="002A7F48"/>
    <w:rsid w:val="002C6478"/>
    <w:rsid w:val="002E084A"/>
    <w:rsid w:val="002E1D91"/>
    <w:rsid w:val="00334A22"/>
    <w:rsid w:val="003634F4"/>
    <w:rsid w:val="003B3304"/>
    <w:rsid w:val="003C1F83"/>
    <w:rsid w:val="003E0C24"/>
    <w:rsid w:val="00400179"/>
    <w:rsid w:val="00400FE1"/>
    <w:rsid w:val="0040184E"/>
    <w:rsid w:val="00413E07"/>
    <w:rsid w:val="00447EC2"/>
    <w:rsid w:val="0046699C"/>
    <w:rsid w:val="00490BDE"/>
    <w:rsid w:val="004913D5"/>
    <w:rsid w:val="004B7318"/>
    <w:rsid w:val="004E6F95"/>
    <w:rsid w:val="0053756C"/>
    <w:rsid w:val="00543F1D"/>
    <w:rsid w:val="00546569"/>
    <w:rsid w:val="005A4696"/>
    <w:rsid w:val="005D0699"/>
    <w:rsid w:val="00632EAF"/>
    <w:rsid w:val="00693AE7"/>
    <w:rsid w:val="006C6D68"/>
    <w:rsid w:val="00703135"/>
    <w:rsid w:val="00726D4D"/>
    <w:rsid w:val="00761020"/>
    <w:rsid w:val="00773DC5"/>
    <w:rsid w:val="007C2F1C"/>
    <w:rsid w:val="008041E2"/>
    <w:rsid w:val="00820783"/>
    <w:rsid w:val="00892EB9"/>
    <w:rsid w:val="00897D0B"/>
    <w:rsid w:val="008D776D"/>
    <w:rsid w:val="008E3B78"/>
    <w:rsid w:val="008E6B1F"/>
    <w:rsid w:val="00915FC8"/>
    <w:rsid w:val="009302C4"/>
    <w:rsid w:val="009324A2"/>
    <w:rsid w:val="00995BB7"/>
    <w:rsid w:val="009A4B18"/>
    <w:rsid w:val="009B29F0"/>
    <w:rsid w:val="009C594A"/>
    <w:rsid w:val="00A0550A"/>
    <w:rsid w:val="00A06E29"/>
    <w:rsid w:val="00A07199"/>
    <w:rsid w:val="00A362B8"/>
    <w:rsid w:val="00A67B49"/>
    <w:rsid w:val="00A75233"/>
    <w:rsid w:val="00A933A9"/>
    <w:rsid w:val="00A935AD"/>
    <w:rsid w:val="00AA2F82"/>
    <w:rsid w:val="00AB7C3C"/>
    <w:rsid w:val="00AE55A3"/>
    <w:rsid w:val="00B0731D"/>
    <w:rsid w:val="00B210BF"/>
    <w:rsid w:val="00B3118A"/>
    <w:rsid w:val="00B4020F"/>
    <w:rsid w:val="00B8543F"/>
    <w:rsid w:val="00B95CB2"/>
    <w:rsid w:val="00BB4699"/>
    <w:rsid w:val="00BF130B"/>
    <w:rsid w:val="00C36BC3"/>
    <w:rsid w:val="00C66ED7"/>
    <w:rsid w:val="00C8354C"/>
    <w:rsid w:val="00C903D3"/>
    <w:rsid w:val="00CC71BA"/>
    <w:rsid w:val="00D216D6"/>
    <w:rsid w:val="00D641CF"/>
    <w:rsid w:val="00D70B59"/>
    <w:rsid w:val="00D83873"/>
    <w:rsid w:val="00D961C2"/>
    <w:rsid w:val="00DA280A"/>
    <w:rsid w:val="00DA6FC8"/>
    <w:rsid w:val="00E014DC"/>
    <w:rsid w:val="00E34451"/>
    <w:rsid w:val="00E369BB"/>
    <w:rsid w:val="00E44D21"/>
    <w:rsid w:val="00EB3314"/>
    <w:rsid w:val="00EC7609"/>
    <w:rsid w:val="00ED307B"/>
    <w:rsid w:val="00ED77FB"/>
    <w:rsid w:val="00F23F0A"/>
    <w:rsid w:val="00F53424"/>
    <w:rsid w:val="00F53992"/>
    <w:rsid w:val="00F64BCC"/>
    <w:rsid w:val="00F73F67"/>
    <w:rsid w:val="00F805B7"/>
    <w:rsid w:val="00FB3558"/>
    <w:rsid w:val="00FD73B9"/>
    <w:rsid w:val="00FE7230"/>
    <w:rsid w:val="00FE7C3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E3D9"/>
  <w15:chartTrackingRefBased/>
  <w15:docId w15:val="{A494BEEB-B238-49C9-A51D-7E254D8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0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31D"/>
  </w:style>
  <w:style w:type="paragraph" w:styleId="Footer">
    <w:name w:val="footer"/>
    <w:basedOn w:val="Normal"/>
    <w:link w:val="FooterChar"/>
    <w:uiPriority w:val="99"/>
    <w:unhideWhenUsed/>
    <w:rsid w:val="00B0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31D"/>
  </w:style>
  <w:style w:type="character" w:styleId="Hyperlink">
    <w:name w:val="Hyperlink"/>
    <w:uiPriority w:val="99"/>
    <w:rsid w:val="000B0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raf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adf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2024-03-12T08:04:00Z</dcterms:created>
  <dcterms:modified xsi:type="dcterms:W3CDTF">2024-03-12T08:04:00Z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2024-02-29T10:55:23Z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bb044f54-a27b-4dec-b707-803c10e861be</vt:lpwstr>
  </property>
  <property fmtid="{D5CDD505-2E9C-101B-9397-08002B2CF9AE}" pid="8" name="MSIP_Label_4a1cc303-c827-4bc8-8096-cfbe6c892f41_ContentBits">
    <vt:lpwstr>0</vt:lpwstr>
  </property>
</Properties>
</file>