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2E8A" w14:textId="77777777" w:rsidR="000C1CB6" w:rsidRPr="00CD242D" w:rsidRDefault="000C1CB6" w:rsidP="000C1CB6">
      <w:pPr>
        <w:ind w:right="662"/>
        <w:jc w:val="both"/>
        <w:rPr>
          <w:rFonts w:cs="Calibri"/>
          <w:lang w:val="en-US"/>
        </w:rPr>
      </w:pPr>
      <w:r w:rsidRPr="00CD242D">
        <w:rPr>
          <w:rFonts w:cs="Calibri"/>
          <w:lang w:val="en-US"/>
        </w:rPr>
        <w:t>NOT FOR PUBLICATION, DISTRIBUTION OR RELEASE, DIRECTLY OR INDIRECTLY, IN WHOLE OR IN PART, IN OR INTO THE UNITED STATES OF AMERICA, CANADA, JAPAN, AUSTRALIA OR ANY JURISDICTION IN WHICH THE PUBLICATION, DISTRIBUTION OR RELEASE WOULD BE UNLAWFUL.</w:t>
      </w:r>
    </w:p>
    <w:p w14:paraId="2CBB1EF4" w14:textId="77777777" w:rsidR="000C1CB6" w:rsidRPr="00CD242D" w:rsidRDefault="000C1CB6" w:rsidP="000C1CB6">
      <w:pPr>
        <w:pStyle w:val="BodyText2"/>
        <w:spacing w:line="276" w:lineRule="auto"/>
        <w:jc w:val="both"/>
        <w:rPr>
          <w:rFonts w:ascii="Calibri" w:hAnsi="Calibri" w:cs="Calibri"/>
          <w:b w:val="0"/>
          <w:bCs w:val="0"/>
          <w:sz w:val="22"/>
          <w:szCs w:val="22"/>
          <w:lang w:val="en-US"/>
        </w:rPr>
      </w:pPr>
      <w:r w:rsidRPr="00CD242D">
        <w:rPr>
          <w:rFonts w:ascii="Calibri" w:hAnsi="Calibri" w:cs="Calibri"/>
          <w:b w:val="0"/>
          <w:bCs w:val="0"/>
          <w:sz w:val="22"/>
          <w:szCs w:val="22"/>
          <w:lang w:val="en-US"/>
        </w:rPr>
        <w:t xml:space="preserve">Neither this announcement nor anything contained herein shall form the basis of, or be relied upon in connection with, any offer or commitment whatsoever in any jurisdiction. </w:t>
      </w:r>
      <w:r>
        <w:rPr>
          <w:rFonts w:ascii="Calibri" w:hAnsi="Calibri" w:cs="Calibri"/>
          <w:b w:val="0"/>
          <w:bCs w:val="0"/>
          <w:sz w:val="22"/>
          <w:szCs w:val="22"/>
          <w:lang w:val="en-US"/>
        </w:rPr>
        <w:t>A</w:t>
      </w:r>
      <w:r w:rsidRPr="00CD242D">
        <w:rPr>
          <w:rFonts w:ascii="Calibri" w:hAnsi="Calibri" w:cs="Calibri"/>
          <w:b w:val="0"/>
          <w:bCs w:val="0"/>
          <w:sz w:val="22"/>
          <w:szCs w:val="22"/>
          <w:lang w:val="en-US"/>
        </w:rPr>
        <w:t xml:space="preserve">ny investor should make </w:t>
      </w:r>
      <w:r>
        <w:rPr>
          <w:rFonts w:ascii="Calibri" w:hAnsi="Calibri" w:cs="Calibri"/>
          <w:b w:val="0"/>
          <w:bCs w:val="0"/>
          <w:sz w:val="22"/>
          <w:szCs w:val="22"/>
          <w:lang w:val="en-US"/>
        </w:rPr>
        <w:t>their</w:t>
      </w:r>
      <w:r w:rsidRPr="00CD242D">
        <w:rPr>
          <w:rFonts w:ascii="Calibri" w:hAnsi="Calibri" w:cs="Calibri"/>
          <w:b w:val="0"/>
          <w:bCs w:val="0"/>
          <w:sz w:val="22"/>
          <w:szCs w:val="22"/>
          <w:lang w:val="en-US"/>
        </w:rPr>
        <w:t xml:space="preserve"> investment decision solely on the basis of the information that is contained in the prospectus or international offering circular (as applicable) to be published by Athens International Airport in due course.</w:t>
      </w:r>
    </w:p>
    <w:p w14:paraId="219F40AC" w14:textId="77777777" w:rsidR="000C1CB6" w:rsidRPr="00CD242D" w:rsidRDefault="000C1CB6" w:rsidP="000C1CB6">
      <w:pPr>
        <w:pStyle w:val="BodyText2"/>
        <w:spacing w:line="276" w:lineRule="auto"/>
        <w:jc w:val="both"/>
        <w:rPr>
          <w:rFonts w:ascii="Calibri" w:hAnsi="Calibri" w:cs="Calibri"/>
          <w:b w:val="0"/>
          <w:bCs w:val="0"/>
          <w:sz w:val="22"/>
          <w:szCs w:val="22"/>
          <w:lang w:val="en-US"/>
        </w:rPr>
      </w:pPr>
    </w:p>
    <w:p w14:paraId="7580DA07" w14:textId="77777777" w:rsidR="000C1CB6" w:rsidRPr="004A4CD6" w:rsidRDefault="000C1CB6" w:rsidP="000C1CB6">
      <w:pPr>
        <w:pStyle w:val="BodyText2"/>
        <w:spacing w:line="276" w:lineRule="auto"/>
        <w:jc w:val="both"/>
        <w:rPr>
          <w:rFonts w:ascii="Calibri" w:hAnsi="Calibri" w:cs="Calibri"/>
          <w:b w:val="0"/>
          <w:bCs w:val="0"/>
          <w:sz w:val="22"/>
          <w:szCs w:val="22"/>
          <w:lang w:val="en-US"/>
        </w:rPr>
      </w:pPr>
    </w:p>
    <w:p w14:paraId="6B392CAF" w14:textId="77777777" w:rsidR="000C1CB6" w:rsidRDefault="000C1CB6" w:rsidP="000C1CB6">
      <w:pPr>
        <w:jc w:val="right"/>
        <w:rPr>
          <w:rFonts w:cs="Calibri"/>
          <w:lang w:val="en-US"/>
        </w:rPr>
      </w:pPr>
      <w:r>
        <w:rPr>
          <w:rFonts w:cs="Calibri"/>
          <w:lang w:val="en-US"/>
        </w:rPr>
        <w:t>Athens, January 15, 2024</w:t>
      </w:r>
    </w:p>
    <w:p w14:paraId="0B743661" w14:textId="77777777" w:rsidR="000C1CB6" w:rsidRPr="00CD242D" w:rsidRDefault="000C1CB6" w:rsidP="000C1CB6">
      <w:pPr>
        <w:jc w:val="center"/>
        <w:rPr>
          <w:rFonts w:cs="Calibri"/>
          <w:b/>
          <w:bCs/>
          <w:lang w:val="en-US"/>
        </w:rPr>
      </w:pPr>
      <w:r w:rsidRPr="00CD242D">
        <w:rPr>
          <w:rFonts w:cs="Calibri"/>
          <w:b/>
          <w:bCs/>
          <w:lang w:val="en-US"/>
        </w:rPr>
        <w:t>PRESS RELEASE</w:t>
      </w:r>
    </w:p>
    <w:p w14:paraId="0456E402" w14:textId="77777777" w:rsidR="000C1CB6" w:rsidRPr="00CD242D" w:rsidRDefault="000C1CB6" w:rsidP="000C1CB6">
      <w:pPr>
        <w:jc w:val="center"/>
        <w:rPr>
          <w:rFonts w:cs="Calibri"/>
          <w:b/>
          <w:bCs/>
          <w:lang w:val="en-US"/>
        </w:rPr>
      </w:pPr>
      <w:r w:rsidRPr="00CD242D">
        <w:rPr>
          <w:rFonts w:cs="Calibri"/>
          <w:b/>
          <w:bCs/>
          <w:lang w:val="en-US"/>
        </w:rPr>
        <w:t>HRADF: Athens International Airport S.A. (AIA S.A.) announces its intention to list on the Athens Stock Exchange</w:t>
      </w:r>
    </w:p>
    <w:p w14:paraId="1475E01E" w14:textId="77777777" w:rsidR="000C1CB6" w:rsidRDefault="000C1CB6" w:rsidP="000C1CB6">
      <w:pPr>
        <w:jc w:val="center"/>
        <w:rPr>
          <w:rFonts w:cs="Calibri"/>
          <w:lang w:val="en-US"/>
        </w:rPr>
      </w:pPr>
    </w:p>
    <w:p w14:paraId="0923AC01" w14:textId="77777777" w:rsidR="000C1CB6" w:rsidRDefault="000C1CB6" w:rsidP="000C1CB6">
      <w:pPr>
        <w:jc w:val="both"/>
        <w:rPr>
          <w:rFonts w:cs="Calibri"/>
          <w:lang w:val="en-US"/>
        </w:rPr>
      </w:pPr>
      <w:r>
        <w:rPr>
          <w:rFonts w:cs="Calibri"/>
          <w:lang w:val="en-US"/>
        </w:rPr>
        <w:t xml:space="preserve">The Hellenic Republic Asset Development Fund (“HRADF” or the “Selling Shareholder”), a member </w:t>
      </w:r>
      <w:r w:rsidRPr="004A335A">
        <w:rPr>
          <w:rFonts w:cs="Calibri"/>
          <w:lang w:val="en-US"/>
        </w:rPr>
        <w:t>company of GROWTHFUND – The National Fund of Greece</w:t>
      </w:r>
      <w:r>
        <w:rPr>
          <w:rFonts w:cs="Calibri"/>
          <w:lang w:val="en-US"/>
        </w:rPr>
        <w:t xml:space="preserve">, </w:t>
      </w:r>
      <w:r w:rsidRPr="00CD242D">
        <w:rPr>
          <w:rFonts w:cs="Calibri"/>
          <w:lang w:val="en-US"/>
        </w:rPr>
        <w:t>announces today, Monday, January 15, 2024, that Athens International Airport (</w:t>
      </w:r>
      <w:r>
        <w:rPr>
          <w:rFonts w:cs="Calibri"/>
          <w:lang w:val="en-US"/>
        </w:rPr>
        <w:t>“</w:t>
      </w:r>
      <w:r w:rsidRPr="00CD242D">
        <w:rPr>
          <w:rFonts w:cs="Calibri"/>
          <w:lang w:val="en-US"/>
        </w:rPr>
        <w:t>AIA</w:t>
      </w:r>
      <w:r>
        <w:rPr>
          <w:rFonts w:cs="Calibri"/>
          <w:lang w:val="en-US"/>
        </w:rPr>
        <w:t>” or the “Company”</w:t>
      </w:r>
      <w:r w:rsidRPr="00CD242D">
        <w:rPr>
          <w:rFonts w:cs="Calibri"/>
          <w:lang w:val="en-US"/>
        </w:rPr>
        <w:t xml:space="preserve">), in whose share capital the </w:t>
      </w:r>
      <w:r>
        <w:rPr>
          <w:rFonts w:cs="Calibri"/>
          <w:lang w:val="en-US"/>
        </w:rPr>
        <w:t>HRADF</w:t>
      </w:r>
      <w:r w:rsidRPr="00CD242D">
        <w:rPr>
          <w:rFonts w:cs="Calibri"/>
          <w:lang w:val="en-US"/>
        </w:rPr>
        <w:t xml:space="preserve"> holds a 30% stake, officially announced its intention to proceed with the listing of its shares on the Main Market of the Regulated Securities Market of the Athens Exchange (the "ATHEX")</w:t>
      </w:r>
      <w:r>
        <w:rPr>
          <w:rFonts w:cs="Calibri"/>
          <w:lang w:val="en-US"/>
        </w:rPr>
        <w:t xml:space="preserve">. </w:t>
      </w:r>
    </w:p>
    <w:p w14:paraId="388A5251" w14:textId="77777777" w:rsidR="000C1CB6" w:rsidRDefault="000C1CB6" w:rsidP="000C1CB6">
      <w:pPr>
        <w:jc w:val="both"/>
        <w:rPr>
          <w:rFonts w:cs="Calibri"/>
          <w:lang w:val="en-US"/>
        </w:rPr>
      </w:pPr>
      <w:r w:rsidRPr="004E3D54">
        <w:rPr>
          <w:rFonts w:cs="Calibri"/>
          <w:lang w:val="en-US"/>
        </w:rPr>
        <w:t xml:space="preserve">The listing of all AIA's shares on the Athens Stock Exchange (the "IPO") will take place </w:t>
      </w:r>
      <w:r>
        <w:rPr>
          <w:rFonts w:cs="Calibri"/>
          <w:lang w:val="en-US"/>
        </w:rPr>
        <w:t>alongside</w:t>
      </w:r>
      <w:r w:rsidRPr="004E3D54">
        <w:rPr>
          <w:rFonts w:cs="Calibri"/>
          <w:lang w:val="en-US"/>
        </w:rPr>
        <w:t xml:space="preserve"> the disposal of the existing shares owned by HRADF (30% of AIA's shares, i.e. 90,000,000 shares)</w:t>
      </w:r>
      <w:r>
        <w:rPr>
          <w:rFonts w:cs="Calibri"/>
          <w:lang w:val="en-US"/>
        </w:rPr>
        <w:t xml:space="preserve"> (the “Offer Shares”)</w:t>
      </w:r>
      <w:r w:rsidRPr="004E3D54">
        <w:rPr>
          <w:rFonts w:cs="Calibri"/>
          <w:lang w:val="en-US"/>
        </w:rPr>
        <w:t xml:space="preserve"> in a combined offering in Greece and abroad (the "Combined Offering").</w:t>
      </w:r>
    </w:p>
    <w:p w14:paraId="2D84D0DB" w14:textId="77777777" w:rsidR="000C1CB6" w:rsidRDefault="000C1CB6" w:rsidP="000C1CB6">
      <w:pPr>
        <w:jc w:val="both"/>
        <w:rPr>
          <w:rFonts w:cs="Calibri"/>
          <w:lang w:val="en-US"/>
        </w:rPr>
      </w:pPr>
      <w:r>
        <w:rPr>
          <w:rFonts w:cs="Calibri"/>
          <w:lang w:val="en-US"/>
        </w:rPr>
        <w:t>U</w:t>
      </w:r>
      <w:r w:rsidRPr="004E3D54">
        <w:rPr>
          <w:rFonts w:cs="Calibri"/>
          <w:lang w:val="en-US"/>
        </w:rPr>
        <w:t xml:space="preserve">nder the Combined Offering, 10% of AIA's shares will be </w:t>
      </w:r>
      <w:r>
        <w:rPr>
          <w:rFonts w:cs="Calibri"/>
          <w:lang w:val="en-US"/>
        </w:rPr>
        <w:t>sold</w:t>
      </w:r>
      <w:r w:rsidRPr="004E3D54">
        <w:rPr>
          <w:rFonts w:cs="Calibri"/>
          <w:lang w:val="en-US"/>
        </w:rPr>
        <w:t xml:space="preserve"> to AIA's existing shareholder, AviAlliance GmbH, which is controlled by the Canadian fund PSP Investments and is currently AIA's largest private shareholder </w:t>
      </w:r>
      <w:r>
        <w:rPr>
          <w:rFonts w:cs="Calibri"/>
          <w:lang w:val="en-US"/>
        </w:rPr>
        <w:t xml:space="preserve">owning approximately </w:t>
      </w:r>
      <w:r w:rsidRPr="004E3D54">
        <w:rPr>
          <w:rFonts w:cs="Calibri"/>
          <w:lang w:val="en-US"/>
        </w:rPr>
        <w:t>40%</w:t>
      </w:r>
      <w:r>
        <w:rPr>
          <w:rFonts w:cs="Calibri"/>
          <w:lang w:val="en-US"/>
        </w:rPr>
        <w:t xml:space="preserve"> of its shares, </w:t>
      </w:r>
      <w:r w:rsidRPr="004E3D54">
        <w:rPr>
          <w:rFonts w:cs="Calibri"/>
          <w:lang w:val="en-US"/>
        </w:rPr>
        <w:t xml:space="preserve">at </w:t>
      </w:r>
      <w:r>
        <w:rPr>
          <w:rFonts w:cs="Calibri"/>
          <w:lang w:val="en-US"/>
        </w:rPr>
        <w:t xml:space="preserve">a premium to </w:t>
      </w:r>
      <w:r w:rsidRPr="004E3D54">
        <w:rPr>
          <w:rFonts w:cs="Calibri"/>
          <w:lang w:val="en-US"/>
        </w:rPr>
        <w:t xml:space="preserve">the </w:t>
      </w:r>
      <w:r>
        <w:rPr>
          <w:rFonts w:cs="Calibri"/>
          <w:lang w:val="en-US"/>
        </w:rPr>
        <w:t>IPO</w:t>
      </w:r>
      <w:r w:rsidRPr="004E3D54">
        <w:rPr>
          <w:rFonts w:cs="Calibri"/>
          <w:lang w:val="en-US"/>
        </w:rPr>
        <w:t xml:space="preserve"> price of AIA's Combined Offering.</w:t>
      </w:r>
      <w:r>
        <w:rPr>
          <w:rFonts w:cs="Calibri"/>
          <w:lang w:val="en-US"/>
        </w:rPr>
        <w:t xml:space="preserve"> </w:t>
      </w:r>
      <w:r w:rsidRPr="004E3D54">
        <w:rPr>
          <w:rFonts w:cs="Calibri"/>
          <w:lang w:val="en-US"/>
        </w:rPr>
        <w:t xml:space="preserve">In addition, 1% of AIA's shares will be </w:t>
      </w:r>
      <w:r>
        <w:rPr>
          <w:rFonts w:cs="Calibri"/>
          <w:lang w:val="en-US"/>
        </w:rPr>
        <w:t>sold</w:t>
      </w:r>
      <w:r w:rsidRPr="004E3D54">
        <w:rPr>
          <w:rFonts w:cs="Calibri"/>
          <w:lang w:val="en-US"/>
        </w:rPr>
        <w:t xml:space="preserve"> </w:t>
      </w:r>
      <w:r>
        <w:rPr>
          <w:rFonts w:cs="Calibri"/>
          <w:lang w:val="en-US"/>
        </w:rPr>
        <w:t>under</w:t>
      </w:r>
      <w:r w:rsidRPr="004E3D54">
        <w:rPr>
          <w:rFonts w:cs="Calibri"/>
          <w:lang w:val="en-US"/>
        </w:rPr>
        <w:t xml:space="preserve"> the Combined Offering at the</w:t>
      </w:r>
      <w:r>
        <w:rPr>
          <w:rFonts w:cs="Calibri"/>
          <w:lang w:val="en-US"/>
        </w:rPr>
        <w:t xml:space="preserve"> IPO</w:t>
      </w:r>
      <w:r w:rsidRPr="004E3D54">
        <w:rPr>
          <w:rFonts w:cs="Calibri"/>
          <w:lang w:val="en-US"/>
        </w:rPr>
        <w:t xml:space="preserve"> price of AIA's Combined Offering</w:t>
      </w:r>
      <w:r w:rsidRPr="004E3D54" w:rsidDel="009503DE">
        <w:rPr>
          <w:rFonts w:cs="Calibri"/>
          <w:lang w:val="en-US"/>
        </w:rPr>
        <w:t xml:space="preserve"> </w:t>
      </w:r>
      <w:r w:rsidRPr="004E3D54">
        <w:rPr>
          <w:rFonts w:cs="Calibri"/>
          <w:lang w:val="en-US"/>
        </w:rPr>
        <w:t xml:space="preserve">to the members of the Copelouzos family, who currently </w:t>
      </w:r>
      <w:r>
        <w:rPr>
          <w:rFonts w:cs="Calibri"/>
          <w:lang w:val="en-US"/>
        </w:rPr>
        <w:t xml:space="preserve">own approximately 5% of </w:t>
      </w:r>
      <w:r w:rsidRPr="004E3D54">
        <w:rPr>
          <w:rFonts w:cs="Calibri"/>
          <w:lang w:val="en-US"/>
        </w:rPr>
        <w:t>AIA</w:t>
      </w:r>
      <w:r>
        <w:rPr>
          <w:rFonts w:cs="Calibri"/>
          <w:lang w:val="en-US"/>
        </w:rPr>
        <w:t>’s shares.</w:t>
      </w:r>
    </w:p>
    <w:p w14:paraId="5B4D3CD2" w14:textId="77777777" w:rsidR="000C1CB6" w:rsidRDefault="000C1CB6" w:rsidP="000C1CB6">
      <w:pPr>
        <w:jc w:val="both"/>
        <w:rPr>
          <w:rFonts w:cs="Calibri"/>
          <w:lang w:val="en-US"/>
        </w:rPr>
      </w:pPr>
      <w:r>
        <w:rPr>
          <w:rFonts w:cs="Calibri"/>
          <w:lang w:val="en-US"/>
        </w:rPr>
        <w:t>AIA</w:t>
      </w:r>
      <w:r w:rsidRPr="004E3D54">
        <w:rPr>
          <w:rFonts w:cs="Calibri"/>
          <w:lang w:val="en-US"/>
        </w:rPr>
        <w:t xml:space="preserve"> is one of the most important transport hubs in Southeastern Europe and the main gateway to Greece, represen</w:t>
      </w:r>
      <w:r>
        <w:rPr>
          <w:rFonts w:cs="Calibri"/>
          <w:lang w:val="en-US"/>
        </w:rPr>
        <w:t>ting</w:t>
      </w:r>
      <w:r w:rsidRPr="004E3D54">
        <w:rPr>
          <w:rFonts w:cs="Calibri"/>
          <w:lang w:val="en-US"/>
        </w:rPr>
        <w:t xml:space="preserve"> approximately 35% of the country's total air traffic. In 2023, passenger traffic recorded its best performance since AIA started operating, exceeding 28 million passengers, and </w:t>
      </w:r>
      <w:r>
        <w:rPr>
          <w:rFonts w:cs="Calibri"/>
          <w:lang w:val="en-US"/>
        </w:rPr>
        <w:t>surpassing</w:t>
      </w:r>
      <w:r w:rsidRPr="004E3D54">
        <w:rPr>
          <w:rFonts w:cs="Calibri"/>
          <w:lang w:val="en-US"/>
        </w:rPr>
        <w:t xml:space="preserve"> pre-Covid-19 levels.</w:t>
      </w:r>
    </w:p>
    <w:p w14:paraId="3D232745" w14:textId="0C4173E7" w:rsidR="000C1CB6" w:rsidRDefault="000C1CB6" w:rsidP="000C1CB6">
      <w:pPr>
        <w:jc w:val="both"/>
        <w:rPr>
          <w:rFonts w:cs="Calibri"/>
          <w:lang w:val="en-US"/>
        </w:rPr>
      </w:pPr>
      <w:r>
        <w:rPr>
          <w:rFonts w:cs="Calibri"/>
          <w:lang w:val="en-US"/>
        </w:rPr>
        <w:lastRenderedPageBreak/>
        <w:t>AIA</w:t>
      </w:r>
      <w:r w:rsidRPr="004E3D54">
        <w:rPr>
          <w:rFonts w:cs="Calibri"/>
          <w:lang w:val="en-US"/>
        </w:rPr>
        <w:t xml:space="preserve"> connects Greece with more than 155 cities in 55 countries worldwide during peak </w:t>
      </w:r>
      <w:r>
        <w:rPr>
          <w:rFonts w:cs="Calibri"/>
          <w:lang w:val="en-US"/>
        </w:rPr>
        <w:t>connectivity in</w:t>
      </w:r>
      <w:r w:rsidRPr="004E3D54">
        <w:rPr>
          <w:rFonts w:cs="Calibri"/>
          <w:lang w:val="en-US"/>
        </w:rPr>
        <w:t xml:space="preserve"> the past five years. </w:t>
      </w:r>
      <w:r>
        <w:rPr>
          <w:rFonts w:cs="Calibri"/>
          <w:lang w:val="en-US"/>
        </w:rPr>
        <w:t>During that time,</w:t>
      </w:r>
      <w:r w:rsidRPr="004E3D54">
        <w:rPr>
          <w:rFonts w:cs="Calibri"/>
          <w:lang w:val="en-US"/>
        </w:rPr>
        <w:t xml:space="preserve"> it has developed 69 new destinations and services with 32 new airlines.</w:t>
      </w:r>
      <w:r>
        <w:rPr>
          <w:rFonts w:cs="Calibri"/>
          <w:lang w:val="en-US"/>
        </w:rPr>
        <w:t xml:space="preserve"> </w:t>
      </w:r>
      <w:r w:rsidRPr="004E3D54">
        <w:rPr>
          <w:rFonts w:cs="Calibri"/>
          <w:lang w:val="en-US"/>
        </w:rPr>
        <w:t>It serves</w:t>
      </w:r>
      <w:r w:rsidRPr="002A4F30">
        <w:rPr>
          <w:rFonts w:cs="Calibri"/>
          <w:lang w:val="en-US"/>
        </w:rPr>
        <w:t xml:space="preserve"> </w:t>
      </w:r>
      <w:r>
        <w:rPr>
          <w:rFonts w:cs="Calibri"/>
          <w:lang w:val="en-US"/>
        </w:rPr>
        <w:t>over</w:t>
      </w:r>
      <w:r w:rsidRPr="004E3D54">
        <w:rPr>
          <w:rFonts w:cs="Calibri"/>
          <w:lang w:val="en-US"/>
        </w:rPr>
        <w:t xml:space="preserve"> 65 airlines and is the main base of operations for </w:t>
      </w:r>
      <w:r w:rsidR="00837BD8">
        <w:rPr>
          <w:rFonts w:cs="Calibri"/>
          <w:lang w:val="en-US"/>
        </w:rPr>
        <w:t>AEGEAN</w:t>
      </w:r>
      <w:r w:rsidRPr="004E3D54">
        <w:rPr>
          <w:rFonts w:cs="Calibri"/>
          <w:lang w:val="en-US"/>
        </w:rPr>
        <w:t>/Olympic Group, the leading Greek carrier, and Sky Express, a fast-growing Greek airline.</w:t>
      </w:r>
      <w:r>
        <w:rPr>
          <w:rFonts w:cs="Calibri"/>
          <w:lang w:val="en-US"/>
        </w:rPr>
        <w:t xml:space="preserve"> </w:t>
      </w:r>
      <w:r w:rsidRPr="004E3D54">
        <w:rPr>
          <w:rFonts w:cs="Calibri"/>
          <w:lang w:val="en-US"/>
        </w:rPr>
        <w:t xml:space="preserve">According to AIA's comprehensive Master Plan for expansion until 2046, when the duration of the concession agreement ends, the goal is to </w:t>
      </w:r>
      <w:r>
        <w:rPr>
          <w:rFonts w:cs="Calibri"/>
          <w:lang w:val="en-US"/>
        </w:rPr>
        <w:t>expand</w:t>
      </w:r>
      <w:r w:rsidRPr="004E3D54">
        <w:rPr>
          <w:rFonts w:cs="Calibri"/>
          <w:lang w:val="en-US"/>
        </w:rPr>
        <w:t xml:space="preserve"> the airport's capacity </w:t>
      </w:r>
      <w:r>
        <w:rPr>
          <w:rFonts w:cs="Calibri"/>
          <w:lang w:val="en-US"/>
        </w:rPr>
        <w:t>to</w:t>
      </w:r>
      <w:r w:rsidRPr="004E3D54">
        <w:rPr>
          <w:rFonts w:cs="Calibri"/>
          <w:lang w:val="en-US"/>
        </w:rPr>
        <w:t xml:space="preserve"> 50 million passengers </w:t>
      </w:r>
      <w:r>
        <w:rPr>
          <w:rFonts w:cs="Calibri"/>
          <w:lang w:val="en-US"/>
        </w:rPr>
        <w:t>annually</w:t>
      </w:r>
      <w:r w:rsidRPr="004E3D54">
        <w:rPr>
          <w:rFonts w:cs="Calibri"/>
          <w:lang w:val="en-US"/>
        </w:rPr>
        <w:t xml:space="preserve">, which can be fully served by the two independent runways already in operation.   </w:t>
      </w:r>
    </w:p>
    <w:p w14:paraId="08A659E3" w14:textId="77777777" w:rsidR="000C1CB6" w:rsidRDefault="000C1CB6" w:rsidP="000C1CB6">
      <w:pPr>
        <w:jc w:val="both"/>
        <w:rPr>
          <w:rFonts w:cs="Calibri"/>
          <w:lang w:val="en-US"/>
        </w:rPr>
      </w:pPr>
      <w:r w:rsidRPr="006316C5">
        <w:rPr>
          <w:rFonts w:cs="Calibri"/>
          <w:lang w:val="en-US"/>
        </w:rPr>
        <w:t>AIA's financial performance recorded a significant recovery in 2022, approaching pre-2019 levels. Specifically, in 2022 the operating income amounted to 476.9 million</w:t>
      </w:r>
      <w:r>
        <w:rPr>
          <w:rFonts w:cs="Calibri"/>
          <w:lang w:val="en-US"/>
        </w:rPr>
        <w:t xml:space="preserve"> euros</w:t>
      </w:r>
      <w:r w:rsidRPr="006316C5">
        <w:rPr>
          <w:rFonts w:cs="Calibri"/>
          <w:lang w:val="en-US"/>
        </w:rPr>
        <w:t xml:space="preserve"> increased by 94.6 million</w:t>
      </w:r>
      <w:r>
        <w:rPr>
          <w:rFonts w:cs="Calibri"/>
          <w:lang w:val="en-US"/>
        </w:rPr>
        <w:t xml:space="preserve"> euros</w:t>
      </w:r>
      <w:r w:rsidRPr="006316C5">
        <w:rPr>
          <w:rFonts w:cs="Calibri"/>
          <w:lang w:val="en-US"/>
        </w:rPr>
        <w:t xml:space="preserve"> or 24,76% compared to the previous financial year. Total earnings before interest, tax</w:t>
      </w:r>
      <w:r>
        <w:rPr>
          <w:rFonts w:cs="Calibri"/>
          <w:lang w:val="en-US"/>
        </w:rPr>
        <w:t xml:space="preserve">, depreciation </w:t>
      </w:r>
      <w:r w:rsidRPr="006316C5">
        <w:rPr>
          <w:rFonts w:cs="Calibri"/>
          <w:lang w:val="en-US"/>
        </w:rPr>
        <w:t>and amortization (EBITDA) amounted to 328.3 million</w:t>
      </w:r>
      <w:r>
        <w:rPr>
          <w:rFonts w:cs="Calibri"/>
          <w:lang w:val="en-US"/>
        </w:rPr>
        <w:t xml:space="preserve"> euros</w:t>
      </w:r>
      <w:r w:rsidRPr="006316C5">
        <w:rPr>
          <w:rFonts w:cs="Calibri"/>
          <w:lang w:val="en-US"/>
        </w:rPr>
        <w:t xml:space="preserve"> in 2022</w:t>
      </w:r>
      <w:r>
        <w:rPr>
          <w:rFonts w:cs="Calibri"/>
          <w:lang w:val="en-US"/>
        </w:rPr>
        <w:t>, increased</w:t>
      </w:r>
      <w:r w:rsidRPr="006316C5">
        <w:rPr>
          <w:rFonts w:cs="Calibri"/>
          <w:lang w:val="en-US"/>
        </w:rPr>
        <w:t xml:space="preserve"> </w:t>
      </w:r>
      <w:r>
        <w:rPr>
          <w:rFonts w:cs="Calibri"/>
          <w:lang w:val="en-US"/>
        </w:rPr>
        <w:t>by</w:t>
      </w:r>
      <w:r w:rsidRPr="006316C5">
        <w:rPr>
          <w:rFonts w:cs="Calibri"/>
          <w:lang w:val="en-US"/>
        </w:rPr>
        <w:t xml:space="preserve"> 45.8 million</w:t>
      </w:r>
      <w:r>
        <w:rPr>
          <w:rFonts w:cs="Calibri"/>
          <w:lang w:val="en-US"/>
        </w:rPr>
        <w:t xml:space="preserve"> euros</w:t>
      </w:r>
      <w:r w:rsidRPr="006316C5">
        <w:rPr>
          <w:rFonts w:cs="Calibri"/>
          <w:lang w:val="en-US"/>
        </w:rPr>
        <w:t xml:space="preserve"> or 16,2% compared to 2021.</w:t>
      </w:r>
    </w:p>
    <w:p w14:paraId="70D30871" w14:textId="77777777" w:rsidR="000C1CB6" w:rsidRDefault="000C1CB6" w:rsidP="000C1CB6">
      <w:pPr>
        <w:jc w:val="both"/>
        <w:rPr>
          <w:rFonts w:cs="Calibri"/>
          <w:lang w:val="en-US"/>
        </w:rPr>
      </w:pPr>
      <w:r w:rsidRPr="006316C5">
        <w:rPr>
          <w:rFonts w:cs="Calibri"/>
          <w:lang w:val="en-US"/>
        </w:rPr>
        <w:t xml:space="preserve">The Company implements leading ESG practices and is expected to </w:t>
      </w:r>
      <w:r>
        <w:rPr>
          <w:rFonts w:cs="Calibri"/>
          <w:lang w:val="en-US"/>
        </w:rPr>
        <w:t>achieve its</w:t>
      </w:r>
      <w:r w:rsidRPr="006316C5">
        <w:rPr>
          <w:rFonts w:cs="Calibri"/>
          <w:lang w:val="en-US"/>
        </w:rPr>
        <w:t xml:space="preserve"> Net Zero</w:t>
      </w:r>
      <w:r>
        <w:rPr>
          <w:rFonts w:cs="Calibri"/>
          <w:lang w:val="en-US"/>
        </w:rPr>
        <w:t xml:space="preserve"> target </w:t>
      </w:r>
      <w:r w:rsidRPr="006316C5">
        <w:rPr>
          <w:rFonts w:cs="Calibri"/>
          <w:lang w:val="en-US"/>
        </w:rPr>
        <w:t>by 2025, reducing CO2 emissions by 60% compared to 2005 and maintaining a recycling rate of over 70% throughout the airport.</w:t>
      </w:r>
    </w:p>
    <w:p w14:paraId="6AF7D2FB" w14:textId="77777777" w:rsidR="000C1CB6" w:rsidRDefault="000C1CB6" w:rsidP="000C1CB6">
      <w:pPr>
        <w:jc w:val="both"/>
        <w:rPr>
          <w:rFonts w:cs="Calibri"/>
          <w:lang w:val="en-US"/>
        </w:rPr>
      </w:pPr>
      <w:r w:rsidRPr="006316C5">
        <w:rPr>
          <w:rFonts w:cs="Calibri"/>
          <w:lang w:val="en-US"/>
        </w:rPr>
        <w:t>The Greek State holds 55% of AIA's share</w:t>
      </w:r>
      <w:r>
        <w:rPr>
          <w:rFonts w:cs="Calibri"/>
          <w:lang w:val="en-US"/>
        </w:rPr>
        <w:t>s</w:t>
      </w:r>
      <w:r w:rsidRPr="006316C5">
        <w:rPr>
          <w:rFonts w:cs="Calibri"/>
          <w:lang w:val="en-US"/>
        </w:rPr>
        <w:t xml:space="preserve">, through HRADF and </w:t>
      </w:r>
      <w:r w:rsidRPr="004A335A">
        <w:rPr>
          <w:rFonts w:cs="Calibri"/>
          <w:lang w:val="en-US"/>
        </w:rPr>
        <w:t xml:space="preserve">GROWTHFUND – The National Fund of Greece </w:t>
      </w:r>
      <w:r w:rsidRPr="006316C5">
        <w:rPr>
          <w:rFonts w:cs="Calibri"/>
          <w:lang w:val="en-US"/>
        </w:rPr>
        <w:t>wh</w:t>
      </w:r>
      <w:r>
        <w:rPr>
          <w:rFonts w:cs="Calibri"/>
          <w:lang w:val="en-US"/>
        </w:rPr>
        <w:t>ich</w:t>
      </w:r>
      <w:r w:rsidRPr="006316C5">
        <w:rPr>
          <w:rFonts w:cs="Calibri"/>
          <w:lang w:val="en-US"/>
        </w:rPr>
        <w:t xml:space="preserve"> </w:t>
      </w:r>
      <w:r>
        <w:rPr>
          <w:rFonts w:cs="Calibri"/>
          <w:lang w:val="en-US"/>
        </w:rPr>
        <w:t>own</w:t>
      </w:r>
      <w:r w:rsidRPr="006316C5">
        <w:rPr>
          <w:rFonts w:cs="Calibri"/>
          <w:lang w:val="en-US"/>
        </w:rPr>
        <w:t xml:space="preserve"> 30% and 25% of </w:t>
      </w:r>
      <w:r>
        <w:rPr>
          <w:rFonts w:cs="Calibri"/>
          <w:lang w:val="en-US"/>
        </w:rPr>
        <w:t>AIA’s</w:t>
      </w:r>
      <w:r w:rsidRPr="006316C5">
        <w:rPr>
          <w:rFonts w:cs="Calibri"/>
          <w:lang w:val="en-US"/>
        </w:rPr>
        <w:t xml:space="preserve"> shares</w:t>
      </w:r>
      <w:r>
        <w:rPr>
          <w:rFonts w:cs="Calibri"/>
          <w:lang w:val="en-US"/>
        </w:rPr>
        <w:t>,</w:t>
      </w:r>
      <w:r w:rsidRPr="006316C5">
        <w:rPr>
          <w:rFonts w:cs="Calibri"/>
          <w:lang w:val="en-US"/>
        </w:rPr>
        <w:t xml:space="preserve"> respectively. AviAlliance</w:t>
      </w:r>
      <w:r>
        <w:rPr>
          <w:rFonts w:cs="Calibri"/>
          <w:lang w:val="en-US"/>
        </w:rPr>
        <w:t xml:space="preserve"> </w:t>
      </w:r>
      <w:r w:rsidRPr="004E3D54">
        <w:rPr>
          <w:rFonts w:cs="Calibri"/>
          <w:lang w:val="en-US"/>
        </w:rPr>
        <w:t>GmbH</w:t>
      </w:r>
      <w:r w:rsidRPr="006316C5">
        <w:rPr>
          <w:rFonts w:cs="Calibri"/>
          <w:lang w:val="en-US"/>
        </w:rPr>
        <w:t xml:space="preserve">, AIA's largest private shareholder, </w:t>
      </w:r>
      <w:r>
        <w:rPr>
          <w:rFonts w:cs="Calibri"/>
          <w:lang w:val="en-US"/>
        </w:rPr>
        <w:t xml:space="preserve">and the </w:t>
      </w:r>
      <w:r w:rsidRPr="006316C5">
        <w:rPr>
          <w:rFonts w:cs="Calibri"/>
          <w:lang w:val="en-US"/>
        </w:rPr>
        <w:t xml:space="preserve">Copelouzos family </w:t>
      </w:r>
      <w:r>
        <w:rPr>
          <w:rFonts w:cs="Calibri"/>
          <w:lang w:val="en-US"/>
        </w:rPr>
        <w:t xml:space="preserve">own approximately 40% and </w:t>
      </w:r>
      <w:r w:rsidRPr="006316C5">
        <w:rPr>
          <w:rFonts w:cs="Calibri"/>
          <w:lang w:val="en-US"/>
        </w:rPr>
        <w:t>5%</w:t>
      </w:r>
      <w:r>
        <w:rPr>
          <w:rFonts w:cs="Calibri"/>
          <w:lang w:val="en-US"/>
        </w:rPr>
        <w:t xml:space="preserve"> of AIA’s shares, respectively</w:t>
      </w:r>
      <w:r w:rsidRPr="006316C5">
        <w:rPr>
          <w:rFonts w:cs="Calibri"/>
          <w:lang w:val="en-US"/>
        </w:rPr>
        <w:t>.</w:t>
      </w:r>
    </w:p>
    <w:p w14:paraId="4065D1CF" w14:textId="77777777" w:rsidR="000C1CB6" w:rsidRPr="000C1CB6" w:rsidRDefault="000C1CB6" w:rsidP="000C1CB6">
      <w:pPr>
        <w:jc w:val="both"/>
        <w:rPr>
          <w:rFonts w:cs="Calibri"/>
          <w:lang w:val="en-US"/>
        </w:rPr>
      </w:pPr>
      <w:r w:rsidRPr="000C1CB6">
        <w:rPr>
          <w:rFonts w:cs="Calibri"/>
          <w:b/>
          <w:bCs/>
          <w:lang w:val="en-US"/>
        </w:rPr>
        <w:t>Dimitris Politis</w:t>
      </w:r>
      <w:r w:rsidRPr="000C1CB6">
        <w:rPr>
          <w:rFonts w:cs="Calibri"/>
          <w:lang w:val="en-US"/>
        </w:rPr>
        <w:t>, CEO of HRADF, stated: “</w:t>
      </w:r>
      <w:r w:rsidRPr="000C1CB6">
        <w:rPr>
          <w:rFonts w:cs="Calibri"/>
          <w:i/>
          <w:iCs/>
          <w:lang w:val="en-US"/>
        </w:rPr>
        <w:t>The project to diversify the investor base of AIA will unlock long term value for the enterprise and will deliver significant benefits to the Greek economy. It represents a great opportunity for international and domestic investors to participate in the success story of Greek tourism and to enhance the prospects of the local capital market. Alongside our fellow shareholders, we believe that this is an important milestone for the further development of AIA and in strengthening the Greek tourism industry</w:t>
      </w:r>
      <w:r w:rsidRPr="000C1CB6">
        <w:rPr>
          <w:rFonts w:cs="Calibri"/>
          <w:lang w:val="en-US"/>
        </w:rPr>
        <w:t xml:space="preserve">”. </w:t>
      </w:r>
    </w:p>
    <w:p w14:paraId="1D2EB7F6" w14:textId="77777777" w:rsidR="000C1CB6" w:rsidRDefault="000C1CB6" w:rsidP="000C1CB6">
      <w:pPr>
        <w:jc w:val="both"/>
        <w:rPr>
          <w:rFonts w:cs="Calibri"/>
          <w:lang w:val="en-US"/>
        </w:rPr>
      </w:pPr>
      <w:r w:rsidRPr="000B025F">
        <w:rPr>
          <w:rFonts w:cs="Calibri"/>
          <w:lang w:val="en-US"/>
        </w:rPr>
        <w:t xml:space="preserve">The Chairman of the Board of Directors of </w:t>
      </w:r>
      <w:r>
        <w:rPr>
          <w:rFonts w:cs="Calibri"/>
          <w:lang w:val="en-US"/>
        </w:rPr>
        <w:t>AIA</w:t>
      </w:r>
      <w:r w:rsidRPr="000B025F">
        <w:rPr>
          <w:rFonts w:cs="Calibri"/>
          <w:lang w:val="en-US"/>
        </w:rPr>
        <w:t>,</w:t>
      </w:r>
      <w:r w:rsidRPr="000B025F">
        <w:rPr>
          <w:rFonts w:cs="Calibri"/>
          <w:b/>
          <w:bCs/>
          <w:lang w:val="en-US"/>
        </w:rPr>
        <w:t xml:space="preserve"> Riccardo Lambiris, </w:t>
      </w:r>
      <w:r w:rsidRPr="000B025F">
        <w:rPr>
          <w:rFonts w:cs="Calibri"/>
          <w:lang w:val="en-US"/>
        </w:rPr>
        <w:t>said:</w:t>
      </w:r>
      <w:r w:rsidRPr="000B025F">
        <w:rPr>
          <w:rFonts w:cs="Calibri"/>
          <w:b/>
          <w:bCs/>
          <w:lang w:val="en-US"/>
        </w:rPr>
        <w:t xml:space="preserve"> </w:t>
      </w:r>
      <w:r w:rsidRPr="000B025F">
        <w:rPr>
          <w:rFonts w:cs="Calibri"/>
          <w:lang w:val="en-US"/>
        </w:rPr>
        <w:t>“</w:t>
      </w:r>
      <w:r w:rsidRPr="000B025F">
        <w:rPr>
          <w:rFonts w:cs="Calibri"/>
          <w:i/>
          <w:iCs/>
          <w:lang w:val="en-US"/>
        </w:rPr>
        <w:t>The listing of AIA on the Athens Stock Exchange is a critical step in the Company’s development which will further enhance the delivery of our business through an updated governance model reflecting commercial best practice. The level of commitment by both the Board of Directors and Management to bring this process to fruition demonstrates the strong belief shared by all in the Company</w:t>
      </w:r>
      <w:r w:rsidRPr="000B025F">
        <w:rPr>
          <w:rFonts w:cs="Calibri"/>
          <w:lang w:val="en-US"/>
        </w:rPr>
        <w:t>”</w:t>
      </w:r>
      <w:r>
        <w:rPr>
          <w:rFonts w:cs="Calibri"/>
          <w:lang w:val="en-US"/>
        </w:rPr>
        <w:t>.</w:t>
      </w:r>
      <w:r w:rsidRPr="000B025F">
        <w:rPr>
          <w:rFonts w:cs="Calibri"/>
          <w:lang w:val="en-US"/>
        </w:rPr>
        <w:t xml:space="preserve"> </w:t>
      </w:r>
    </w:p>
    <w:p w14:paraId="24540FF7" w14:textId="77777777" w:rsidR="000C1CB6" w:rsidRPr="000C1CB6" w:rsidRDefault="000C1CB6" w:rsidP="000C1CB6">
      <w:pPr>
        <w:spacing w:after="120"/>
        <w:jc w:val="both"/>
        <w:rPr>
          <w:i/>
          <w:iCs/>
          <w:lang w:val="en-US"/>
        </w:rPr>
      </w:pPr>
      <w:r w:rsidRPr="000C1CB6">
        <w:rPr>
          <w:rFonts w:cs="Calibri"/>
          <w:lang w:val="en-US"/>
        </w:rPr>
        <w:t xml:space="preserve">The CEO of AIA, Dr </w:t>
      </w:r>
      <w:r w:rsidRPr="000B025F">
        <w:rPr>
          <w:rFonts w:cs="Calibri"/>
          <w:b/>
          <w:bCs/>
          <w:lang w:val="en-US"/>
        </w:rPr>
        <w:t xml:space="preserve">Yiannis </w:t>
      </w:r>
      <w:r w:rsidRPr="000C1CB6">
        <w:rPr>
          <w:rFonts w:cs="Calibri"/>
          <w:b/>
          <w:bCs/>
          <w:lang w:val="en-US"/>
        </w:rPr>
        <w:t>Paraschis</w:t>
      </w:r>
      <w:r w:rsidRPr="000C1CB6">
        <w:rPr>
          <w:rFonts w:cs="Calibri"/>
          <w:lang w:val="en-US"/>
        </w:rPr>
        <w:t>, said</w:t>
      </w:r>
      <w:r w:rsidRPr="000C1CB6">
        <w:rPr>
          <w:rFonts w:cs="Calibri"/>
          <w:b/>
          <w:bCs/>
          <w:lang w:val="en-US"/>
        </w:rPr>
        <w:t xml:space="preserve">: </w:t>
      </w:r>
      <w:r w:rsidRPr="000C1CB6">
        <w:rPr>
          <w:rFonts w:cs="Calibri"/>
          <w:i/>
          <w:iCs/>
          <w:lang w:val="en-US"/>
        </w:rPr>
        <w:t>“I am delighted to lead AIA through what will be a landmark IPO in Greece and in our industry. The involvement of a broader group of investors, exposure and ability to tap into capital markets, and alignment with international best practice will further strengthen AIA by adding new perspectives and capabilities for the next phase of our development. I am proud to lead such an experienced and cohesive team whose operating excellence has enabled us to build one of Europe’s multi-awarded airports and reach today’s milestone</w:t>
      </w:r>
      <w:r w:rsidRPr="000C1CB6">
        <w:rPr>
          <w:i/>
          <w:iCs/>
          <w:lang w:val="en-US"/>
        </w:rPr>
        <w:t xml:space="preserve">”.  </w:t>
      </w:r>
    </w:p>
    <w:p w14:paraId="47F54807" w14:textId="77777777" w:rsidR="000C1CB6" w:rsidRPr="000C1CB6" w:rsidRDefault="000C1CB6" w:rsidP="000C1CB6">
      <w:pPr>
        <w:jc w:val="both"/>
        <w:rPr>
          <w:rFonts w:cs="Calibri"/>
          <w:lang w:val="en-US"/>
        </w:rPr>
      </w:pPr>
      <w:r w:rsidRPr="000C1CB6">
        <w:rPr>
          <w:rFonts w:cs="Calibri"/>
          <w:b/>
          <w:bCs/>
          <w:lang w:val="en-US"/>
        </w:rPr>
        <w:lastRenderedPageBreak/>
        <w:t xml:space="preserve">Gerhard Schroeder, </w:t>
      </w:r>
      <w:r w:rsidRPr="000C1CB6">
        <w:rPr>
          <w:rFonts w:cs="Calibri"/>
          <w:lang w:val="en-US"/>
        </w:rPr>
        <w:t>Managing Director of AviAlliance</w:t>
      </w:r>
      <w:r w:rsidRPr="000B025F">
        <w:rPr>
          <w:rFonts w:cs="Calibri"/>
          <w:lang w:val="en-US"/>
        </w:rPr>
        <w:t xml:space="preserve"> GmbH</w:t>
      </w:r>
      <w:r w:rsidRPr="000C1CB6">
        <w:rPr>
          <w:rFonts w:cs="Calibri"/>
          <w:lang w:val="en-US"/>
        </w:rPr>
        <w:t>, commented: “</w:t>
      </w:r>
      <w:r w:rsidRPr="000C1CB6">
        <w:rPr>
          <w:rFonts w:cs="Calibri"/>
          <w:i/>
          <w:iCs/>
          <w:lang w:val="en-US"/>
        </w:rPr>
        <w:t xml:space="preserve">We have been supporters of AIA’s management team since the opening of the airport in 2001 and are confident in their ability to deliver the IPO as part of its wider plans. AIA is well-placed to build on its record of strong financial performance and capitalise on its leading position in an attractive market”. </w:t>
      </w:r>
    </w:p>
    <w:p w14:paraId="27D91175" w14:textId="77777777" w:rsidR="000C1CB6" w:rsidRPr="000C1CB6" w:rsidRDefault="000C1CB6" w:rsidP="000C1CB6">
      <w:pPr>
        <w:jc w:val="both"/>
        <w:rPr>
          <w:lang w:val="en-US"/>
        </w:rPr>
      </w:pPr>
    </w:p>
    <w:p w14:paraId="4D7F71F8" w14:textId="77777777" w:rsidR="000C1CB6" w:rsidRDefault="000C1CB6" w:rsidP="000C1CB6">
      <w:pPr>
        <w:jc w:val="both"/>
        <w:rPr>
          <w:rFonts w:cs="Calibri"/>
          <w:sz w:val="20"/>
          <w:szCs w:val="20"/>
          <w:lang w:val="en-US"/>
        </w:rPr>
      </w:pPr>
    </w:p>
    <w:p w14:paraId="2D442756" w14:textId="77777777" w:rsidR="000C1CB6" w:rsidRPr="000C1CB6" w:rsidRDefault="000C1CB6" w:rsidP="000C1CB6">
      <w:pPr>
        <w:jc w:val="both"/>
        <w:rPr>
          <w:rFonts w:eastAsia="Times New Roman" w:cs="Calibri"/>
          <w:bCs/>
          <w:sz w:val="20"/>
          <w:szCs w:val="20"/>
          <w:lang w:val="en-US"/>
        </w:rPr>
      </w:pPr>
      <w:r w:rsidRPr="000C1CB6">
        <w:rPr>
          <w:rFonts w:cs="Calibri"/>
          <w:sz w:val="20"/>
          <w:szCs w:val="20"/>
          <w:lang w:val="en-US"/>
        </w:rPr>
        <w:t xml:space="preserve">Please refer to the Fund's </w:t>
      </w:r>
      <w:hyperlink r:id="rId11" w:history="1">
        <w:r w:rsidRPr="000C1CB6">
          <w:rPr>
            <w:rStyle w:val="Hyperlink"/>
            <w:rFonts w:cs="Calibri"/>
            <w:sz w:val="20"/>
            <w:szCs w:val="20"/>
            <w:lang w:val="en-US"/>
          </w:rPr>
          <w:t>website</w:t>
        </w:r>
      </w:hyperlink>
      <w:r w:rsidRPr="000C1CB6">
        <w:rPr>
          <w:rFonts w:cs="Calibri"/>
          <w:sz w:val="20"/>
          <w:szCs w:val="20"/>
          <w:lang w:val="en-US"/>
        </w:rPr>
        <w:t xml:space="preserve"> for more information and updates regarding the Hellenic Republic Asset Development Fund (HRADF).</w:t>
      </w:r>
    </w:p>
    <w:p w14:paraId="2AA5EBD4" w14:textId="77777777" w:rsidR="000C1CB6" w:rsidRPr="000C1CB6" w:rsidRDefault="000C1CB6" w:rsidP="000C1CB6">
      <w:pPr>
        <w:jc w:val="both"/>
        <w:rPr>
          <w:rFonts w:cs="Calibri"/>
          <w:sz w:val="20"/>
          <w:szCs w:val="20"/>
          <w:lang w:val="en-US"/>
        </w:rPr>
      </w:pPr>
      <w:r w:rsidRPr="000C1CB6">
        <w:rPr>
          <w:rFonts w:cs="Calibri"/>
          <w:b/>
          <w:sz w:val="20"/>
          <w:szCs w:val="20"/>
          <w:lang w:val="en-US"/>
        </w:rPr>
        <w:t>Information for the Press:</w:t>
      </w:r>
      <w:r w:rsidRPr="000C1CB6">
        <w:rPr>
          <w:rFonts w:cs="Calibri"/>
          <w:sz w:val="20"/>
          <w:szCs w:val="20"/>
          <w:lang w:val="en-US"/>
        </w:rPr>
        <w:t xml:space="preserve"> </w:t>
      </w:r>
      <w:r w:rsidRPr="000C1CB6">
        <w:rPr>
          <w:rFonts w:cs="Calibri"/>
          <w:color w:val="000000" w:themeColor="text1"/>
          <w:sz w:val="20"/>
          <w:szCs w:val="20"/>
        </w:rPr>
        <w:t>Α</w:t>
      </w:r>
      <w:r w:rsidRPr="000C1CB6">
        <w:rPr>
          <w:rFonts w:cs="Calibri"/>
          <w:color w:val="000000" w:themeColor="text1"/>
          <w:sz w:val="20"/>
          <w:szCs w:val="20"/>
          <w:lang w:val="en-US"/>
        </w:rPr>
        <w:t>chilleas Topas</w:t>
      </w:r>
      <w:r w:rsidRPr="000C1CB6">
        <w:rPr>
          <w:rFonts w:cs="Calibri"/>
          <w:sz w:val="20"/>
          <w:szCs w:val="20"/>
          <w:lang w:val="en-US"/>
        </w:rPr>
        <w:t xml:space="preserve">, </w:t>
      </w:r>
      <w:r w:rsidRPr="000C1CB6">
        <w:rPr>
          <w:rFonts w:cs="Calibri"/>
          <w:sz w:val="20"/>
          <w:szCs w:val="20"/>
        </w:rPr>
        <w:t>Τ</w:t>
      </w:r>
      <w:r w:rsidRPr="000C1CB6">
        <w:rPr>
          <w:rFonts w:cs="Calibri"/>
          <w:sz w:val="20"/>
          <w:szCs w:val="20"/>
          <w:lang w:val="en-US"/>
        </w:rPr>
        <w:t xml:space="preserve">el </w:t>
      </w:r>
      <w:r w:rsidRPr="000C1CB6">
        <w:rPr>
          <w:rFonts w:cs="Calibri"/>
          <w:color w:val="000000" w:themeColor="text1"/>
          <w:sz w:val="20"/>
          <w:szCs w:val="20"/>
          <w:lang w:val="en-US"/>
        </w:rPr>
        <w:t>+30 6944902085</w:t>
      </w:r>
      <w:r w:rsidRPr="000C1CB6">
        <w:rPr>
          <w:rFonts w:cs="Calibri"/>
          <w:sz w:val="20"/>
          <w:szCs w:val="20"/>
          <w:lang w:val="en-US"/>
        </w:rPr>
        <w:t xml:space="preserve">, Email </w:t>
      </w:r>
      <w:hyperlink r:id="rId12" w:history="1">
        <w:r w:rsidRPr="000C1CB6">
          <w:rPr>
            <w:rStyle w:val="Hyperlink"/>
            <w:rFonts w:cs="Calibri"/>
            <w:sz w:val="20"/>
            <w:szCs w:val="20"/>
            <w:lang w:val="en-US"/>
          </w:rPr>
          <w:t>press@hraf.gr</w:t>
        </w:r>
      </w:hyperlink>
      <w:r w:rsidRPr="000C1CB6">
        <w:rPr>
          <w:rFonts w:cs="Calibri"/>
          <w:sz w:val="20"/>
          <w:szCs w:val="20"/>
          <w:lang w:val="en-US"/>
        </w:rPr>
        <w:t xml:space="preserve"> &amp; </w:t>
      </w:r>
      <w:r w:rsidRPr="000C1CB6">
        <w:rPr>
          <w:rStyle w:val="Hyperlink"/>
          <w:rFonts w:cs="Calibri"/>
          <w:sz w:val="20"/>
          <w:szCs w:val="20"/>
          <w:lang w:val="en-US"/>
        </w:rPr>
        <w:t>atopas@hraf.gr</w:t>
      </w:r>
    </w:p>
    <w:p w14:paraId="3A54F8D6" w14:textId="77777777" w:rsidR="000C1CB6" w:rsidRPr="000C1CB6" w:rsidRDefault="000C1CB6" w:rsidP="000C1CB6">
      <w:pPr>
        <w:jc w:val="both"/>
        <w:rPr>
          <w:rFonts w:cs="Calibri"/>
          <w:i/>
          <w:iCs/>
          <w:lang w:val="en-US"/>
        </w:rPr>
      </w:pPr>
      <w:r w:rsidRPr="000C1CB6">
        <w:rPr>
          <w:rFonts w:cs="Calibri"/>
          <w:i/>
          <w:iCs/>
          <w:lang w:val="en-US"/>
        </w:rPr>
        <w:t xml:space="preserve"> </w:t>
      </w:r>
    </w:p>
    <w:p w14:paraId="68DAF4E5" w14:textId="77777777" w:rsidR="000C1CB6" w:rsidRPr="000C1CB6" w:rsidRDefault="000C1CB6" w:rsidP="000C1CB6">
      <w:pPr>
        <w:jc w:val="both"/>
        <w:rPr>
          <w:rFonts w:cs="Calibri"/>
          <w:lang w:val="en-US"/>
        </w:rPr>
      </w:pPr>
      <w:r w:rsidRPr="000C1CB6">
        <w:rPr>
          <w:rFonts w:cs="Calibri"/>
          <w:i/>
          <w:iCs/>
          <w:lang w:val="en-US"/>
        </w:rPr>
        <w:t xml:space="preserve"> </w:t>
      </w:r>
    </w:p>
    <w:p w14:paraId="32F1D626" w14:textId="77777777" w:rsidR="000C1CB6" w:rsidRPr="000C1CB6" w:rsidRDefault="000C1CB6" w:rsidP="000C1CB6">
      <w:pPr>
        <w:jc w:val="both"/>
        <w:rPr>
          <w:rFonts w:cs="Calibri"/>
          <w:lang w:val="en-US"/>
        </w:rPr>
      </w:pPr>
    </w:p>
    <w:p w14:paraId="02B14B4C" w14:textId="77777777" w:rsidR="000C1CB6" w:rsidRPr="000C1CB6" w:rsidRDefault="000C1CB6" w:rsidP="000C1CB6">
      <w:pPr>
        <w:jc w:val="both"/>
        <w:rPr>
          <w:rFonts w:cs="Calibri"/>
          <w:lang w:val="en-US"/>
        </w:rPr>
      </w:pPr>
      <w:r w:rsidRPr="000C1CB6">
        <w:rPr>
          <w:rFonts w:cs="Calibri"/>
          <w:lang w:val="en-US"/>
        </w:rPr>
        <w:tab/>
      </w:r>
    </w:p>
    <w:p w14:paraId="66A24DC4" w14:textId="77777777" w:rsidR="000C1CB6" w:rsidRPr="000C1CB6" w:rsidRDefault="000C1CB6" w:rsidP="000C1CB6">
      <w:pPr>
        <w:tabs>
          <w:tab w:val="left" w:pos="252"/>
        </w:tabs>
        <w:spacing w:after="0" w:line="240" w:lineRule="auto"/>
        <w:contextualSpacing/>
        <w:jc w:val="both"/>
        <w:rPr>
          <w:rFonts w:cs="Calibri"/>
          <w:b/>
          <w:bCs/>
          <w:lang w:val="en-US"/>
        </w:rPr>
      </w:pPr>
      <w:r w:rsidRPr="000C1CB6">
        <w:rPr>
          <w:rFonts w:cs="Calibri"/>
          <w:b/>
          <w:bCs/>
          <w:lang w:val="en-US"/>
        </w:rPr>
        <w:t>DISCLAIMER</w:t>
      </w:r>
    </w:p>
    <w:p w14:paraId="7B8E4A05" w14:textId="77777777" w:rsidR="000C1CB6" w:rsidRPr="004A335A" w:rsidRDefault="000C1CB6" w:rsidP="000C1CB6">
      <w:pPr>
        <w:spacing w:after="0" w:line="240" w:lineRule="auto"/>
        <w:jc w:val="both"/>
        <w:rPr>
          <w:rFonts w:eastAsia="TKTypeRegular" w:cs="Calibri"/>
          <w:color w:val="000000"/>
          <w:sz w:val="20"/>
          <w:lang w:val="en-US"/>
        </w:rPr>
      </w:pPr>
    </w:p>
    <w:p w14:paraId="1CBA8F4A" w14:textId="77777777" w:rsidR="000C1CB6" w:rsidRPr="004A335A" w:rsidRDefault="000C1CB6" w:rsidP="000C1CB6">
      <w:pPr>
        <w:spacing w:after="120" w:line="240" w:lineRule="auto"/>
        <w:jc w:val="both"/>
        <w:rPr>
          <w:rFonts w:eastAsia="TKTypeRegular" w:cs="Calibri"/>
          <w:color w:val="000000"/>
          <w:szCs w:val="24"/>
          <w:lang w:val="en-US"/>
        </w:rPr>
      </w:pPr>
      <w:r w:rsidRPr="004A335A">
        <w:rPr>
          <w:rFonts w:eastAsia="TKTypeRegular" w:cs="Calibri"/>
          <w:color w:val="000000"/>
          <w:szCs w:val="24"/>
          <w:lang w:val="en-US"/>
        </w:rPr>
        <w:t>The information contained in this announcement is for background purposes only and does not purport to be full or complete. No reliance may be placed by any person for any purpose on the information contained in this announcement or its accuracy, fairness or completeness.</w:t>
      </w:r>
    </w:p>
    <w:p w14:paraId="3C17CBE5" w14:textId="77777777" w:rsidR="000C1CB6" w:rsidRPr="004A335A" w:rsidRDefault="000C1CB6" w:rsidP="000C1CB6">
      <w:pPr>
        <w:spacing w:after="120" w:line="240" w:lineRule="auto"/>
        <w:jc w:val="both"/>
        <w:rPr>
          <w:rFonts w:eastAsia="TKTypeRegular" w:cs="Calibri"/>
          <w:color w:val="000000"/>
          <w:szCs w:val="24"/>
          <w:lang w:val="en-US"/>
        </w:rPr>
      </w:pPr>
      <w:r w:rsidRPr="004A335A">
        <w:rPr>
          <w:rFonts w:eastAsia="TKTypeRegular" w:cs="Calibri"/>
          <w:color w:val="000000"/>
          <w:szCs w:val="24"/>
          <w:lang w:val="en-US"/>
        </w:rPr>
        <w:t xml:space="preserve">This document is an announcement and is not a prospectus for the purposes of Regulation (EU) 2017/1129 (the “Prospectus Regulation”). A prospectus prepared pursuant to the Prospectus Regulation, Commission Delegated Regulation (EU) 2019/980, and the Commission Delegated Regulation (EU) 2019/979 has been submitted for approval to the Hellenic Capital Market Commission and, as soon as approved, will be published and made available to investors in connection with the Greek Public Offering and the listing of the Company’s shares on the </w:t>
      </w:r>
      <w:r w:rsidRPr="000C1CB6">
        <w:rPr>
          <w:rFonts w:cs="Calibri"/>
          <w:lang w:val="en-US"/>
        </w:rPr>
        <w:t>Main Market of the Regulated Securities Market of ATHEX</w:t>
      </w:r>
      <w:r w:rsidRPr="004A335A">
        <w:rPr>
          <w:rFonts w:eastAsia="TKTypeRegular" w:cs="Calibri"/>
          <w:color w:val="000000"/>
          <w:szCs w:val="24"/>
          <w:lang w:val="en-US"/>
        </w:rPr>
        <w:t xml:space="preserve">. Investors should not subscribe to any securities referred to in this document except based on information contained in the prospectus which includes detailed information regarding the Company and the risks involved in investing in the Offer Shares. </w:t>
      </w:r>
    </w:p>
    <w:p w14:paraId="77F5EB00" w14:textId="77777777" w:rsidR="000C1CB6" w:rsidRPr="004A335A" w:rsidRDefault="000C1CB6" w:rsidP="000C1CB6">
      <w:pPr>
        <w:spacing w:after="120" w:line="240" w:lineRule="auto"/>
        <w:jc w:val="both"/>
        <w:rPr>
          <w:rFonts w:eastAsia="TKTypeRegular" w:cs="Calibri"/>
          <w:color w:val="000000"/>
          <w:szCs w:val="24"/>
          <w:lang w:val="en-US"/>
        </w:rPr>
      </w:pPr>
      <w:r w:rsidRPr="004A335A">
        <w:rPr>
          <w:rFonts w:eastAsia="TKTypeRegular" w:cs="Calibri"/>
          <w:color w:val="000000"/>
          <w:szCs w:val="24"/>
          <w:lang w:val="en-US"/>
        </w:rPr>
        <w:t>This announcement is not for distribution, directly or indirectly, in or into the United States (including its territories and possessions, any State of the United States and the District of Columbia), Australia, Canada, Japan or South Africa or any other jurisdiction in which the distribution or announcement would be unlawful. The distribution of this announcement may be restricted by law in certain jurisdictions and persons into whose possession any document or other information referred to herein comes should inform themselves about and observe any such restriction. Any failure to comply with these restrictions may constitute a violation of the securities laws of any such jurisdiction.</w:t>
      </w:r>
    </w:p>
    <w:p w14:paraId="304564E6" w14:textId="77777777" w:rsidR="000C1CB6" w:rsidRPr="004A335A" w:rsidRDefault="000C1CB6" w:rsidP="000C1CB6">
      <w:pPr>
        <w:spacing w:after="120" w:line="240" w:lineRule="auto"/>
        <w:jc w:val="both"/>
        <w:rPr>
          <w:rFonts w:eastAsia="TKTypeRegular" w:cs="Calibri"/>
          <w:color w:val="000000"/>
          <w:szCs w:val="24"/>
          <w:lang w:val="en-US"/>
        </w:rPr>
      </w:pPr>
      <w:r w:rsidRPr="004A335A">
        <w:rPr>
          <w:rFonts w:eastAsia="TKTypeRegular" w:cs="Calibri"/>
          <w:color w:val="000000"/>
          <w:szCs w:val="24"/>
          <w:lang w:val="en-US"/>
        </w:rPr>
        <w:t xml:space="preserve">This announcement does not contain, constitute or form a part of any offer or solicitation to purchase or subscribe for securities in the United States, Australia, Canada, Japan or South </w:t>
      </w:r>
      <w:r w:rsidRPr="004A335A">
        <w:rPr>
          <w:rFonts w:eastAsia="TKTypeRegular" w:cs="Calibri"/>
          <w:color w:val="000000"/>
          <w:szCs w:val="24"/>
          <w:lang w:val="en-US"/>
        </w:rPr>
        <w:lastRenderedPageBreak/>
        <w:t>Africa or any other jurisdictions where to do so would constitute a violation of the laws of such jurisdiction. The securities referred to herein may not be offered or sold in the United States unless registered under the United States Securities Act of 1933, as amended (the “Securities Act”) or offered in a transaction exempt from, or not subject to, the registration requirements of the Securities Act. The offer and sale of the securities mentioned herein have not been, and will not be, registered under the Securities Act or under the applicable securities laws of Australia, Canada, Japan or South Africa.</w:t>
      </w:r>
    </w:p>
    <w:p w14:paraId="713C95CE" w14:textId="77777777" w:rsidR="000C1CB6" w:rsidRPr="004A335A" w:rsidRDefault="000C1CB6" w:rsidP="000C1CB6">
      <w:pPr>
        <w:spacing w:after="120" w:line="240" w:lineRule="auto"/>
        <w:jc w:val="both"/>
        <w:rPr>
          <w:rFonts w:eastAsia="TKTypeRegular" w:cs="Calibri"/>
          <w:color w:val="000000"/>
          <w:szCs w:val="24"/>
          <w:lang w:val="en-US"/>
        </w:rPr>
      </w:pPr>
      <w:r w:rsidRPr="004A335A">
        <w:rPr>
          <w:rFonts w:eastAsia="TKTypeRegular" w:cs="Calibri"/>
          <w:color w:val="000000"/>
          <w:szCs w:val="24"/>
          <w:lang w:val="en-US"/>
        </w:rPr>
        <w:t>The securities may be offered in the United States to qualified institutional buyers pursuant to Rule 144A under the Securities Act, and outside the United States in offshore transactions in reliance on Regulation S under the Securities Act. There currently is, and there will be no public offer of securities in the United States. The securities may not be offered or sold in Australia, Canada, Japan or South Africa or to, or for the account or benefit of, any national, resident or citizen of Australia, Canada, Japan or South Africa, subject to certain exceptions.</w:t>
      </w:r>
    </w:p>
    <w:p w14:paraId="3C4C0043" w14:textId="77777777" w:rsidR="000C1CB6" w:rsidRPr="004A335A" w:rsidRDefault="000C1CB6" w:rsidP="000C1CB6">
      <w:pPr>
        <w:spacing w:after="120" w:line="240" w:lineRule="auto"/>
        <w:jc w:val="both"/>
        <w:rPr>
          <w:rFonts w:cs="Calibri"/>
          <w:lang w:val="en-US"/>
        </w:rPr>
      </w:pPr>
      <w:r w:rsidRPr="004A335A">
        <w:rPr>
          <w:rFonts w:cs="Calibri"/>
          <w:lang w:val="en-US"/>
        </w:rPr>
        <w:t>In any EEA Member State, other than Greece, (each such EEA Member State a “Relevant State”) this communication and any offer if made subsequently is only addressed to and is only directed at “qualified investors” in that Member State within the meaning of Article 2(e) of Regulation (EU) 2017/1129 (the “Prospectus Regulation”). The Offer Shares mentioned in this press release are not intended to be offered to the public in any Relevant State and are only available to “qualified investors”. Any invitation, offer or agreement to subscribe for, purchase or otherwise acquire such Offer Shares in a Relevant State will only be available for “qualified investors”. Persons in any Relevant State who are not “qualified investors” should not take any actions based on this press release, nor rely on it.</w:t>
      </w:r>
    </w:p>
    <w:p w14:paraId="4AB2F111" w14:textId="77777777" w:rsidR="000C1CB6" w:rsidRPr="004A335A" w:rsidRDefault="000C1CB6" w:rsidP="000C1CB6">
      <w:pPr>
        <w:spacing w:after="120" w:line="240" w:lineRule="auto"/>
        <w:jc w:val="both"/>
        <w:rPr>
          <w:rFonts w:cs="Calibri"/>
          <w:lang w:val="en-US"/>
        </w:rPr>
      </w:pPr>
      <w:r w:rsidRPr="004A335A">
        <w:rPr>
          <w:rFonts w:cs="Calibri"/>
          <w:lang w:val="en-US"/>
        </w:rPr>
        <w:t xml:space="preserve">In the United Kingdom, this publication is being distributed only to and is directed only at persons who are “qualified investors” within the meaning of Article 2 of the Prospectus Regulation as it forms part of retained EU law in the United Kingdom as defined in the European Union (Withdrawal) Act 2018 (as amended) (i) who have professional experience in matters relating to investments falling within the definition of “investment professionals” in Article 19(5) of the Financial Services and Markets Act 2000 (Financial Promotion) Order 2005, as amended (the “Order”), or (ii) persons who are high net worth bodies corporate, unincorporated associations and partnerships and the trustees of high value trusts, as described in Article 49(2)(a) to (d) of the Order or (iii) persons to whom this communication may otherwise be lawfully communicated (all such persons together being referred to as “Relevant Persons”). The securities are available only to, and any invitation, offer or agreement to subscribe, purchase or otherwise acquire such securities will be available only to or will be engaged in only with, Relevant Persons. Any person who is not a Relevant Person should not act or rely on this document or any of its contents. </w:t>
      </w:r>
    </w:p>
    <w:p w14:paraId="4DD6F423" w14:textId="77777777" w:rsidR="000C1CB6" w:rsidRPr="004A335A" w:rsidRDefault="000C1CB6" w:rsidP="000C1CB6">
      <w:pPr>
        <w:spacing w:after="120" w:line="240" w:lineRule="auto"/>
        <w:jc w:val="both"/>
        <w:rPr>
          <w:rFonts w:cs="Calibri"/>
          <w:lang w:val="en-US"/>
        </w:rPr>
      </w:pPr>
      <w:r w:rsidRPr="004A335A">
        <w:rPr>
          <w:rFonts w:cs="Calibri"/>
          <w:lang w:val="en-US"/>
        </w:rPr>
        <w:t xml:space="preserve">The Information herein contains forward-looking statements. All statements other than statements of historical fact included herein are forward-looking statements. Forward-looking statements give HRADF’s and the Company’s current expectations, estimates, forecasts, and projections relating to its financial condition, results of operations, plans, objectives, future performance and business as well as the industries in which the Company operates, as well as the beliefs and assumptions of the Company’s management. In particular, certain statements with regard to management objectives, trends in results of operations, margins, costs, return on equity, risk management and competition tend to be forward-looking in nature. These statements may include, without limitation, any statements preceded by, followed by or including words such as “target,” “believe,” “expect,” “aim,” “intend,” “goal,” “may,” “anticipate,” “estimate,” “plan,” “project,” “seek,” “will,” “can have,” “likely,” “should,” </w:t>
      </w:r>
      <w:r w:rsidRPr="004A335A">
        <w:rPr>
          <w:rFonts w:cs="Calibri"/>
          <w:lang w:val="en-US"/>
        </w:rPr>
        <w:lastRenderedPageBreak/>
        <w:t>“would,” “could” and other words and terms of similar meaning or the negative thereof. Such forward-looking statements involve known and unknown risks, uncertainties and other important factors beyond the Company’s control that could cause the Company’s actual results, performance or achievements to be materially different from the expected results, performance or achievements expressed or implied by such forward-looking statements. Such forward-looking statements are based on numerous assumptions regarding the Company’s present and future business strategies and the environment in which it will operate in the future. Therefore, the Company’s actual results may differ materially and adversely from those expressed or implied in any forward-looking statements. They are neither statements of historical fact nor guarantees of future performance. HRADF and the Company therefore caution against relying on any of these forward-looking statements.</w:t>
      </w:r>
    </w:p>
    <w:p w14:paraId="4A60D02F" w14:textId="77777777" w:rsidR="000C1CB6" w:rsidRPr="004A335A" w:rsidRDefault="000C1CB6" w:rsidP="000C1CB6">
      <w:pPr>
        <w:spacing w:after="120" w:line="240" w:lineRule="auto"/>
        <w:jc w:val="both"/>
        <w:rPr>
          <w:rFonts w:cs="Calibri"/>
          <w:lang w:val="en-US"/>
        </w:rPr>
      </w:pPr>
      <w:r w:rsidRPr="004A335A">
        <w:rPr>
          <w:rFonts w:cs="Calibri"/>
          <w:lang w:val="en-US"/>
        </w:rPr>
        <w:t>Each of HRADF, the Company, the Managers (as defined below), Rothschild &amp; Co (as defined below) and their respective affiliates, directors, officers, employees, advisers, or agents expressly disclaims any obligation or undertaking to update, review or revise any forward-looking statement contained in this announcement whether as a result of new information, future developments or otherwise.</w:t>
      </w:r>
    </w:p>
    <w:p w14:paraId="7F1F835F" w14:textId="77777777" w:rsidR="000C1CB6" w:rsidRPr="004A335A" w:rsidRDefault="000C1CB6" w:rsidP="000C1CB6">
      <w:pPr>
        <w:spacing w:after="120" w:line="240" w:lineRule="auto"/>
        <w:jc w:val="both"/>
        <w:rPr>
          <w:rFonts w:cs="Calibri"/>
          <w:lang w:val="en-US"/>
        </w:rPr>
      </w:pPr>
      <w:r w:rsidRPr="004A335A">
        <w:rPr>
          <w:rFonts w:cs="Calibri"/>
          <w:lang w:val="en-US"/>
        </w:rPr>
        <w:t>Any purchase of securities in the proposed Combined Offering should be made solely on the basis of the information contained in the final prospectus or international offering circular, as applicable, to be issued in connection with the Combined Offering.</w:t>
      </w:r>
    </w:p>
    <w:p w14:paraId="76FFCDB7" w14:textId="77777777" w:rsidR="000C1CB6" w:rsidRPr="004A335A" w:rsidRDefault="000C1CB6" w:rsidP="000C1CB6">
      <w:pPr>
        <w:spacing w:after="120" w:line="240" w:lineRule="auto"/>
        <w:jc w:val="both"/>
        <w:rPr>
          <w:rFonts w:cs="Calibri"/>
          <w:lang w:val="en-US"/>
        </w:rPr>
      </w:pPr>
      <w:r w:rsidRPr="004A335A">
        <w:rPr>
          <w:rFonts w:cs="Calibri"/>
          <w:lang w:val="en-US"/>
        </w:rPr>
        <w:t xml:space="preserve">The date of listing may be influenced by things such as market conditions. There is no guarantee that listing will occur and you should not base your financial decisions on HRADF;s expectation and the Company’s intentions in relation to listing at this stage. Acquiring investments to which this announcement relates may expose an investor to a significant risk of losing all of the amount invested. Persons considering making such investments should consult an authorised person specialising in advising on such investments. This announcement does not constitute a recommendation concerning the Combined Offering. The value of shares can decrease as well as increase. Potential investors should consult a professional advisor as to the suitability of the Combined Offering for the person concerned. </w:t>
      </w:r>
    </w:p>
    <w:p w14:paraId="4E83EF93" w14:textId="77777777" w:rsidR="000C1CB6" w:rsidRPr="004A335A" w:rsidRDefault="000C1CB6" w:rsidP="000C1CB6">
      <w:pPr>
        <w:spacing w:after="120" w:line="240" w:lineRule="auto"/>
        <w:jc w:val="both"/>
        <w:rPr>
          <w:rFonts w:cs="Calibri"/>
          <w:lang w:val="en-US"/>
        </w:rPr>
      </w:pPr>
      <w:r w:rsidRPr="004A335A">
        <w:rPr>
          <w:rFonts w:cs="Calibri"/>
          <w:lang w:val="en-US"/>
        </w:rPr>
        <w:t xml:space="preserve">This announcement does not identify or suggest, or purport to identify or suggest, the risks (direct or indirect) that may be associated with an investment in the Offer Shares. </w:t>
      </w:r>
    </w:p>
    <w:p w14:paraId="368AAB40" w14:textId="77777777" w:rsidR="000C1CB6" w:rsidRPr="004A335A" w:rsidRDefault="000C1CB6" w:rsidP="000C1CB6">
      <w:pPr>
        <w:spacing w:after="120" w:line="240" w:lineRule="auto"/>
        <w:jc w:val="both"/>
        <w:rPr>
          <w:rFonts w:cs="Calibri"/>
          <w:lang w:val="en-US"/>
        </w:rPr>
      </w:pPr>
      <w:r w:rsidRPr="004A335A">
        <w:rPr>
          <w:rFonts w:cs="Calibri"/>
          <w:lang w:val="en-US"/>
        </w:rPr>
        <w:t xml:space="preserve">No representation or warranty, express or implied, is made by any of BofA Securities Europe SA, Morgan Stanley Europe SE, Deutsche Bank Aktiengesellschaft, Barclays Bank Ireland PLC, BNP PARIBAS, HSBC Continental Europe, Eurobank S.A., Alpha Bank S.A., National Bank of Greece S.A., Piraeus Bank S.A., Ambrosia Capital Hellas Single Member S.A., AXIA Ventures Group Ltd, Euroxx Securities S.A. and Pantelakis Securities S.A. (collectively, the </w:t>
      </w:r>
      <w:r w:rsidRPr="000C1CB6">
        <w:rPr>
          <w:rFonts w:cs="Calibri"/>
          <w:lang w:val="en-US"/>
        </w:rPr>
        <w:t>“Managers”)</w:t>
      </w:r>
      <w:r w:rsidRPr="004A335A">
        <w:rPr>
          <w:rFonts w:cs="Calibri"/>
          <w:lang w:val="en-US"/>
        </w:rPr>
        <w:t>, or Rothschild &amp; Co or any of their respective affiliates, directors, officers, employees, advisers or agents as to the accuracy or completeness or verification of the information contained in this announcement (or whether any information has been omitted therefrom), and nothing contained herein is, or shall be relied upon as, a promise or representation by any of them in this respect, whether as to the past or future. The information in this announcement is subject to change. None of the Managers</w:t>
      </w:r>
      <w:r w:rsidRPr="004A335A" w:rsidDel="005829E4">
        <w:rPr>
          <w:rFonts w:cs="Calibri"/>
          <w:lang w:val="en-US"/>
        </w:rPr>
        <w:t xml:space="preserve"> </w:t>
      </w:r>
      <w:r w:rsidRPr="004A335A">
        <w:rPr>
          <w:rFonts w:cs="Calibri"/>
          <w:lang w:val="en-US"/>
        </w:rPr>
        <w:t>or Rothschild &amp; Co or any of their respective affiliates, directors, officers, employees, advisers or agents assumes any responsibility for its accuracy, completeness, or verification and accordingly they disclaim, to the fullest extent permitted by applicable law, any and all liability whether arising in tort, contract or otherwise which they might otherwise be found to have in respect of this announcement or any such statement. The Managers</w:t>
      </w:r>
      <w:r w:rsidRPr="004A335A" w:rsidDel="005829E4">
        <w:rPr>
          <w:rFonts w:cs="Calibri"/>
          <w:lang w:val="en-US"/>
        </w:rPr>
        <w:t xml:space="preserve"> </w:t>
      </w:r>
      <w:r w:rsidRPr="004A335A">
        <w:rPr>
          <w:rFonts w:cs="Calibri"/>
          <w:lang w:val="en-US"/>
        </w:rPr>
        <w:t xml:space="preserve">are each acting exclusively for the Company and/or the Selling Shareholder and for no-one else in connection with any transaction mentioned in this announcement and will not </w:t>
      </w:r>
      <w:r w:rsidRPr="004A335A">
        <w:rPr>
          <w:rFonts w:cs="Calibri"/>
          <w:lang w:val="en-US"/>
        </w:rPr>
        <w:lastRenderedPageBreak/>
        <w:t xml:space="preserve">regard any other person (whether or not a recipient of this announcement) as their respective clients in relation to any such transaction and will not be responsible to any other person for providing the protections afforded to their respective clients, nor for advising any such person on the contents of this announcement or in connection with any transaction or other matter referred to in this announcement. </w:t>
      </w:r>
    </w:p>
    <w:p w14:paraId="00D88FB8" w14:textId="77777777" w:rsidR="000C1CB6" w:rsidRPr="004A335A" w:rsidRDefault="000C1CB6" w:rsidP="000C1CB6">
      <w:pPr>
        <w:spacing w:after="120" w:line="240" w:lineRule="auto"/>
        <w:jc w:val="both"/>
        <w:rPr>
          <w:rFonts w:cs="Calibri"/>
          <w:lang w:val="en-US"/>
        </w:rPr>
      </w:pPr>
      <w:r w:rsidRPr="004A335A">
        <w:rPr>
          <w:rFonts w:cs="Calibri"/>
          <w:lang w:val="en-US"/>
        </w:rPr>
        <w:t>N.M. Rothschild &amp; Sons Limited (“Rothschild &amp; Co”), which is authorised and regulated by the Financial Conduct Authority in the United Kingdom, is acting for the Company and no one else in connection with any transaction mentioned in this announcement and will not be responsible to anyone other than the Company for providing the protections afforded to its clients nor for providing advice in connection with any transaction referred to in this announcement.</w:t>
      </w:r>
    </w:p>
    <w:p w14:paraId="0F0E34AD" w14:textId="77777777" w:rsidR="000C1CB6" w:rsidRPr="004A335A" w:rsidRDefault="000C1CB6" w:rsidP="000C1CB6">
      <w:pPr>
        <w:spacing w:after="120" w:line="240" w:lineRule="auto"/>
        <w:jc w:val="both"/>
        <w:rPr>
          <w:rFonts w:cs="Calibri"/>
          <w:lang w:val="en-US"/>
        </w:rPr>
      </w:pPr>
      <w:r w:rsidRPr="004A335A">
        <w:rPr>
          <w:rFonts w:cs="Calibri"/>
          <w:lang w:val="en-US"/>
        </w:rPr>
        <w:t>Stabilization actions, if any, will be conducted based on the terms and conditions provided for in Regulation (EU) 596/2014 and delegated Regulation (EU) 2016/1052. It is noted that stabilization may not necessarily occur and may cease at any time, stabilization transactions aim at supporting the market price of the ordinary shares of the Company during the stabilization period and, if carried out, may result in a higher market price than would otherwise have been established.</w:t>
      </w:r>
    </w:p>
    <w:p w14:paraId="2F07987B" w14:textId="77777777" w:rsidR="000C1CB6" w:rsidRPr="004A335A" w:rsidRDefault="000C1CB6" w:rsidP="000C1CB6">
      <w:pPr>
        <w:spacing w:after="120" w:line="240" w:lineRule="auto"/>
        <w:jc w:val="both"/>
        <w:rPr>
          <w:rFonts w:cs="Calibri"/>
          <w:lang w:val="en-US"/>
        </w:rPr>
      </w:pPr>
      <w:r w:rsidRPr="004A335A">
        <w:rPr>
          <w:rFonts w:cs="Calibri"/>
          <w:lang w:val="en-US"/>
        </w:rPr>
        <w:t>In connection with the Combined Offering, the Managers</w:t>
      </w:r>
      <w:r w:rsidRPr="004A335A" w:rsidDel="005829E4">
        <w:rPr>
          <w:rFonts w:cs="Calibri"/>
          <w:lang w:val="en-US"/>
        </w:rPr>
        <w:t xml:space="preserve"> </w:t>
      </w:r>
      <w:r w:rsidRPr="004A335A">
        <w:rPr>
          <w:rFonts w:cs="Calibri"/>
          <w:lang w:val="en-US"/>
        </w:rPr>
        <w:t xml:space="preserve">and any of their affiliates may take up a portion of the shares in the Combined Offering as a principal position and in that capacity may retain, purchase, sell, offer to sell for their own accounts such shares and other securities of the Company or related investments in connection with the Combined Offering. </w:t>
      </w:r>
    </w:p>
    <w:p w14:paraId="51717E89" w14:textId="77777777" w:rsidR="000C1CB6" w:rsidRPr="004A335A" w:rsidRDefault="000C1CB6" w:rsidP="000C1CB6">
      <w:pPr>
        <w:spacing w:after="120" w:line="240" w:lineRule="auto"/>
        <w:jc w:val="both"/>
        <w:rPr>
          <w:rFonts w:cs="Calibri"/>
          <w:lang w:val="en-US"/>
        </w:rPr>
      </w:pPr>
      <w:r w:rsidRPr="004A335A">
        <w:rPr>
          <w:rFonts w:cs="Calibri"/>
          <w:lang w:val="en-US"/>
        </w:rPr>
        <w:t>Accordingly, references in the prospectus, once published, to the shares being issued, offered, subscribed, acquired, placed, or otherwise dealt in should be read as including any issue or offer to, or subscription, acquisition, placing or dealing by, the any of the Managers and any of their affiliates acting in such capacity. In addition, the Managers</w:t>
      </w:r>
      <w:r w:rsidRPr="004A335A" w:rsidDel="005829E4">
        <w:rPr>
          <w:rFonts w:cs="Calibri"/>
          <w:lang w:val="en-US"/>
        </w:rPr>
        <w:t xml:space="preserve"> </w:t>
      </w:r>
      <w:r w:rsidRPr="004A335A">
        <w:rPr>
          <w:rFonts w:cs="Calibri"/>
          <w:lang w:val="en-US"/>
        </w:rPr>
        <w:t>and any of their affiliates may enter financing arrangements (including swaps, warrants or contracts for differences) with investors in connection with which the Managers and any of their affiliates may from time to time acquire, hold or dispose of shares. None of the Managers intends to disclose the extent of any such investment or transactions otherwise than in accordance with any legal or regulatory obligations to do so.</w:t>
      </w:r>
    </w:p>
    <w:p w14:paraId="0A1039C8" w14:textId="77777777" w:rsidR="000C1CB6" w:rsidRPr="000C1CB6" w:rsidRDefault="000C1CB6" w:rsidP="000C1CB6">
      <w:pPr>
        <w:spacing w:after="120" w:line="240" w:lineRule="auto"/>
        <w:jc w:val="both"/>
        <w:rPr>
          <w:rFonts w:cs="Calibri"/>
          <w:lang w:val="en-US"/>
        </w:rPr>
      </w:pPr>
      <w:r w:rsidRPr="004A335A">
        <w:rPr>
          <w:rFonts w:cs="Calibri"/>
          <w:lang w:val="en-US"/>
        </w:rPr>
        <w:t>The Combined Offering may be influenced by a range of circumstances, such as market conditions, and there is no guarantee that the Combined Offering will proceed and that the listing will occur.</w:t>
      </w:r>
    </w:p>
    <w:p w14:paraId="6CAA34E1" w14:textId="77DF2785" w:rsidR="00FE7A21" w:rsidRPr="00FE7A21" w:rsidRDefault="00FE7A21" w:rsidP="00FE7A21">
      <w:pPr>
        <w:jc w:val="both"/>
        <w:rPr>
          <w:lang w:val="en-US"/>
        </w:rPr>
      </w:pPr>
    </w:p>
    <w:sectPr w:rsidR="00FE7A21" w:rsidRPr="00FE7A21" w:rsidSect="00744A2F">
      <w:headerReference w:type="default" r:id="rId13"/>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A191E" w14:textId="77777777" w:rsidR="00744A2F" w:rsidRDefault="00744A2F" w:rsidP="00456E38">
      <w:pPr>
        <w:spacing w:after="0" w:line="240" w:lineRule="auto"/>
      </w:pPr>
      <w:r>
        <w:separator/>
      </w:r>
    </w:p>
  </w:endnote>
  <w:endnote w:type="continuationSeparator" w:id="0">
    <w:p w14:paraId="3BE58C98" w14:textId="77777777" w:rsidR="00744A2F" w:rsidRDefault="00744A2F"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KTypeRegular">
    <w:altName w:val="Calibri"/>
    <w:charset w:val="00"/>
    <w:family w:val="swiss"/>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36DAF" w14:textId="77777777" w:rsidR="00744A2F" w:rsidRDefault="00744A2F" w:rsidP="00456E38">
      <w:pPr>
        <w:spacing w:after="0" w:line="240" w:lineRule="auto"/>
      </w:pPr>
      <w:r>
        <w:separator/>
      </w:r>
    </w:p>
  </w:footnote>
  <w:footnote w:type="continuationSeparator" w:id="0">
    <w:p w14:paraId="5C97E364" w14:textId="77777777" w:rsidR="00744A2F" w:rsidRDefault="00744A2F"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757B" w14:textId="1A750699" w:rsidR="00047D39" w:rsidRDefault="00532989" w:rsidP="00532989">
    <w:r>
      <w:t xml:space="preserve">                                              </w:t>
    </w:r>
    <w:r w:rsidR="00D6621C">
      <w:rPr>
        <w:noProof/>
      </w:rPr>
      <w:drawing>
        <wp:inline distT="0" distB="0" distL="0" distR="0" wp14:anchorId="04BAE395" wp14:editId="6F8310EE">
          <wp:extent cx="2402014" cy="583158"/>
          <wp:effectExtent l="0" t="0" r="0" b="7620"/>
          <wp:docPr id="1"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27" cy="594450"/>
                  </a:xfrm>
                  <a:prstGeom prst="rect">
                    <a:avLst/>
                  </a:prstGeom>
                  <a:noFill/>
                  <a:ln>
                    <a:noFill/>
                  </a:ln>
                </pic:spPr>
              </pic:pic>
            </a:graphicData>
          </a:graphic>
        </wp:inline>
      </w:drawing>
    </w:r>
  </w:p>
  <w:p w14:paraId="0C92CBD9" w14:textId="77777777" w:rsidR="001C67F7" w:rsidRDefault="001C67F7" w:rsidP="000E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E673B"/>
    <w:multiLevelType w:val="hybridMultilevel"/>
    <w:tmpl w:val="FC1A3E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C766B6"/>
    <w:multiLevelType w:val="hybridMultilevel"/>
    <w:tmpl w:val="5CEA00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3DF02F1"/>
    <w:multiLevelType w:val="hybridMultilevel"/>
    <w:tmpl w:val="AC3E482A"/>
    <w:lvl w:ilvl="0" w:tplc="55F62A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C4D78"/>
    <w:multiLevelType w:val="hybridMultilevel"/>
    <w:tmpl w:val="2A402E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9A21D69"/>
    <w:multiLevelType w:val="hybridMultilevel"/>
    <w:tmpl w:val="13BA07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C269C"/>
    <w:multiLevelType w:val="multilevel"/>
    <w:tmpl w:val="C7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11" w15:restartNumberingAfterBreak="0">
    <w:nsid w:val="254204A4"/>
    <w:multiLevelType w:val="hybridMultilevel"/>
    <w:tmpl w:val="8D2C33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B6663B"/>
    <w:multiLevelType w:val="hybridMultilevel"/>
    <w:tmpl w:val="550C2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7E76E6"/>
    <w:multiLevelType w:val="hybridMultilevel"/>
    <w:tmpl w:val="F9409A0E"/>
    <w:lvl w:ilvl="0" w:tplc="2DC40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0205D7F"/>
    <w:multiLevelType w:val="hybridMultilevel"/>
    <w:tmpl w:val="3D62494C"/>
    <w:lvl w:ilvl="0" w:tplc="7E96AE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B18C5"/>
    <w:multiLevelType w:val="hybridMultilevel"/>
    <w:tmpl w:val="E1FE7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9" w15:restartNumberingAfterBreak="0">
    <w:nsid w:val="46044E8F"/>
    <w:multiLevelType w:val="hybridMultilevel"/>
    <w:tmpl w:val="5900CBA6"/>
    <w:lvl w:ilvl="0" w:tplc="931E67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43C37"/>
    <w:multiLevelType w:val="hybridMultilevel"/>
    <w:tmpl w:val="863E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50D1A"/>
    <w:multiLevelType w:val="hybridMultilevel"/>
    <w:tmpl w:val="6DBEA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AC0348"/>
    <w:multiLevelType w:val="hybridMultilevel"/>
    <w:tmpl w:val="F59600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FD6FDA"/>
    <w:multiLevelType w:val="hybridMultilevel"/>
    <w:tmpl w:val="66927C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2EC32E1"/>
    <w:multiLevelType w:val="hybridMultilevel"/>
    <w:tmpl w:val="3B8EFF3C"/>
    <w:lvl w:ilvl="0" w:tplc="5660FAF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4081D"/>
    <w:multiLevelType w:val="hybridMultilevel"/>
    <w:tmpl w:val="853E2C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CA79F1"/>
    <w:multiLevelType w:val="hybridMultilevel"/>
    <w:tmpl w:val="5C4C50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9694">
    <w:abstractNumId w:val="18"/>
  </w:num>
  <w:num w:numId="2" w16cid:durableId="1816096909">
    <w:abstractNumId w:val="10"/>
  </w:num>
  <w:num w:numId="3" w16cid:durableId="1124542514">
    <w:abstractNumId w:val="8"/>
  </w:num>
  <w:num w:numId="4" w16cid:durableId="1608344740">
    <w:abstractNumId w:val="31"/>
  </w:num>
  <w:num w:numId="5" w16cid:durableId="681856097">
    <w:abstractNumId w:val="14"/>
  </w:num>
  <w:num w:numId="6" w16cid:durableId="214515023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16cid:durableId="136170819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8" w16cid:durableId="189504705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9" w16cid:durableId="57443952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0" w16cid:durableId="56706112">
    <w:abstractNumId w:val="5"/>
  </w:num>
  <w:num w:numId="11" w16cid:durableId="1280916240">
    <w:abstractNumId w:val="15"/>
  </w:num>
  <w:num w:numId="12" w16cid:durableId="1357732019">
    <w:abstractNumId w:val="24"/>
  </w:num>
  <w:num w:numId="13" w16cid:durableId="1447893081">
    <w:abstractNumId w:val="12"/>
  </w:num>
  <w:num w:numId="14" w16cid:durableId="1955165700">
    <w:abstractNumId w:val="9"/>
  </w:num>
  <w:num w:numId="15" w16cid:durableId="917403429">
    <w:abstractNumId w:val="3"/>
  </w:num>
  <w:num w:numId="16" w16cid:durableId="377516461">
    <w:abstractNumId w:val="20"/>
  </w:num>
  <w:num w:numId="17" w16cid:durableId="1986230696">
    <w:abstractNumId w:val="13"/>
  </w:num>
  <w:num w:numId="18" w16cid:durableId="889192924">
    <w:abstractNumId w:val="4"/>
  </w:num>
  <w:num w:numId="19" w16cid:durableId="488182285">
    <w:abstractNumId w:val="25"/>
  </w:num>
  <w:num w:numId="20" w16cid:durableId="204567894">
    <w:abstractNumId w:val="16"/>
  </w:num>
  <w:num w:numId="21" w16cid:durableId="439029805">
    <w:abstractNumId w:val="19"/>
  </w:num>
  <w:num w:numId="22" w16cid:durableId="205485344">
    <w:abstractNumId w:val="0"/>
  </w:num>
  <w:num w:numId="23" w16cid:durableId="202131784">
    <w:abstractNumId w:val="6"/>
  </w:num>
  <w:num w:numId="24" w16cid:durableId="54205165">
    <w:abstractNumId w:val="27"/>
  </w:num>
  <w:num w:numId="25" w16cid:durableId="1243099760">
    <w:abstractNumId w:val="23"/>
  </w:num>
  <w:num w:numId="26" w16cid:durableId="604459997">
    <w:abstractNumId w:val="17"/>
  </w:num>
  <w:num w:numId="27" w16cid:durableId="963120781">
    <w:abstractNumId w:val="30"/>
  </w:num>
  <w:num w:numId="28" w16cid:durableId="1179271576">
    <w:abstractNumId w:val="2"/>
  </w:num>
  <w:num w:numId="29" w16cid:durableId="1894465430">
    <w:abstractNumId w:val="29"/>
  </w:num>
  <w:num w:numId="30" w16cid:durableId="285235268">
    <w:abstractNumId w:val="26"/>
  </w:num>
  <w:num w:numId="31" w16cid:durableId="33849230">
    <w:abstractNumId w:val="11"/>
  </w:num>
  <w:num w:numId="32" w16cid:durableId="23386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0MDUwMzEzNja2MDBX0lEKTi0uzszPAykwNKgFAJNbbS8tAAAA"/>
  </w:docVars>
  <w:rsids>
    <w:rsidRoot w:val="00456E38"/>
    <w:rsid w:val="0000031D"/>
    <w:rsid w:val="0000047F"/>
    <w:rsid w:val="000026E3"/>
    <w:rsid w:val="0000317E"/>
    <w:rsid w:val="00006614"/>
    <w:rsid w:val="00006FE3"/>
    <w:rsid w:val="0001095D"/>
    <w:rsid w:val="00013231"/>
    <w:rsid w:val="00014612"/>
    <w:rsid w:val="00015D44"/>
    <w:rsid w:val="00034A86"/>
    <w:rsid w:val="00042194"/>
    <w:rsid w:val="0004714E"/>
    <w:rsid w:val="00047D39"/>
    <w:rsid w:val="000533B0"/>
    <w:rsid w:val="000547E9"/>
    <w:rsid w:val="00054A7E"/>
    <w:rsid w:val="0005614A"/>
    <w:rsid w:val="00056470"/>
    <w:rsid w:val="00056C8F"/>
    <w:rsid w:val="000571E5"/>
    <w:rsid w:val="00060EE7"/>
    <w:rsid w:val="000658F5"/>
    <w:rsid w:val="00067763"/>
    <w:rsid w:val="0007028B"/>
    <w:rsid w:val="0007417F"/>
    <w:rsid w:val="000747B2"/>
    <w:rsid w:val="000826CE"/>
    <w:rsid w:val="000840DC"/>
    <w:rsid w:val="00086A6D"/>
    <w:rsid w:val="00090C98"/>
    <w:rsid w:val="0009206A"/>
    <w:rsid w:val="00096D1F"/>
    <w:rsid w:val="000A194B"/>
    <w:rsid w:val="000A59A9"/>
    <w:rsid w:val="000B31D1"/>
    <w:rsid w:val="000B7DBF"/>
    <w:rsid w:val="000C1CB6"/>
    <w:rsid w:val="000C2DFD"/>
    <w:rsid w:val="000C708B"/>
    <w:rsid w:val="000D221D"/>
    <w:rsid w:val="000D4083"/>
    <w:rsid w:val="000D7EBC"/>
    <w:rsid w:val="000D7FAA"/>
    <w:rsid w:val="000E3767"/>
    <w:rsid w:val="000E56C3"/>
    <w:rsid w:val="000F05FA"/>
    <w:rsid w:val="000F1C7A"/>
    <w:rsid w:val="000F56C4"/>
    <w:rsid w:val="000F6060"/>
    <w:rsid w:val="00101825"/>
    <w:rsid w:val="00106D39"/>
    <w:rsid w:val="00110038"/>
    <w:rsid w:val="00123083"/>
    <w:rsid w:val="00130F02"/>
    <w:rsid w:val="00131BF2"/>
    <w:rsid w:val="00136AA2"/>
    <w:rsid w:val="00140D2E"/>
    <w:rsid w:val="00141748"/>
    <w:rsid w:val="00145926"/>
    <w:rsid w:val="001500DF"/>
    <w:rsid w:val="00151C82"/>
    <w:rsid w:val="00153684"/>
    <w:rsid w:val="0015403C"/>
    <w:rsid w:val="00155815"/>
    <w:rsid w:val="00155FC0"/>
    <w:rsid w:val="001609AE"/>
    <w:rsid w:val="0016167F"/>
    <w:rsid w:val="00161A9A"/>
    <w:rsid w:val="001635B9"/>
    <w:rsid w:val="001676D4"/>
    <w:rsid w:val="0017043B"/>
    <w:rsid w:val="0018026E"/>
    <w:rsid w:val="00180A1B"/>
    <w:rsid w:val="001871AF"/>
    <w:rsid w:val="00190792"/>
    <w:rsid w:val="00190F92"/>
    <w:rsid w:val="00196191"/>
    <w:rsid w:val="001A014F"/>
    <w:rsid w:val="001A0CAF"/>
    <w:rsid w:val="001A1113"/>
    <w:rsid w:val="001A2D03"/>
    <w:rsid w:val="001A3010"/>
    <w:rsid w:val="001A3341"/>
    <w:rsid w:val="001A5DE7"/>
    <w:rsid w:val="001B32E1"/>
    <w:rsid w:val="001B3381"/>
    <w:rsid w:val="001B4B2D"/>
    <w:rsid w:val="001B69B7"/>
    <w:rsid w:val="001B7A1D"/>
    <w:rsid w:val="001C1F3A"/>
    <w:rsid w:val="001C2060"/>
    <w:rsid w:val="001C4A63"/>
    <w:rsid w:val="001C67F7"/>
    <w:rsid w:val="001C719E"/>
    <w:rsid w:val="001D1F83"/>
    <w:rsid w:val="001D2B8F"/>
    <w:rsid w:val="001D32E1"/>
    <w:rsid w:val="001D37EF"/>
    <w:rsid w:val="001D592A"/>
    <w:rsid w:val="001E206E"/>
    <w:rsid w:val="001E5D29"/>
    <w:rsid w:val="001E6FCE"/>
    <w:rsid w:val="001F217C"/>
    <w:rsid w:val="001F2856"/>
    <w:rsid w:val="00201FAF"/>
    <w:rsid w:val="00205170"/>
    <w:rsid w:val="002071B6"/>
    <w:rsid w:val="00210F5A"/>
    <w:rsid w:val="002121B2"/>
    <w:rsid w:val="00214C63"/>
    <w:rsid w:val="002166EF"/>
    <w:rsid w:val="002176D2"/>
    <w:rsid w:val="0022194C"/>
    <w:rsid w:val="002235BA"/>
    <w:rsid w:val="00230EA0"/>
    <w:rsid w:val="00232B14"/>
    <w:rsid w:val="002352A8"/>
    <w:rsid w:val="0023624D"/>
    <w:rsid w:val="0024234B"/>
    <w:rsid w:val="00243E27"/>
    <w:rsid w:val="00244269"/>
    <w:rsid w:val="00244FEF"/>
    <w:rsid w:val="0024628B"/>
    <w:rsid w:val="002504E5"/>
    <w:rsid w:val="00253B4F"/>
    <w:rsid w:val="00255B21"/>
    <w:rsid w:val="00257A44"/>
    <w:rsid w:val="00257B55"/>
    <w:rsid w:val="002623B4"/>
    <w:rsid w:val="00262862"/>
    <w:rsid w:val="00263B90"/>
    <w:rsid w:val="00264838"/>
    <w:rsid w:val="00266AAA"/>
    <w:rsid w:val="00266FDD"/>
    <w:rsid w:val="00267E97"/>
    <w:rsid w:val="00272D56"/>
    <w:rsid w:val="00281085"/>
    <w:rsid w:val="00283BC4"/>
    <w:rsid w:val="002847E6"/>
    <w:rsid w:val="0029465D"/>
    <w:rsid w:val="00294E24"/>
    <w:rsid w:val="00295E59"/>
    <w:rsid w:val="002A256B"/>
    <w:rsid w:val="002B0269"/>
    <w:rsid w:val="002B4A06"/>
    <w:rsid w:val="002B4B67"/>
    <w:rsid w:val="002B50D2"/>
    <w:rsid w:val="002B79CE"/>
    <w:rsid w:val="002C105C"/>
    <w:rsid w:val="002C5BF2"/>
    <w:rsid w:val="002D12CB"/>
    <w:rsid w:val="002E2E96"/>
    <w:rsid w:val="002F0083"/>
    <w:rsid w:val="002F5699"/>
    <w:rsid w:val="002F6C2C"/>
    <w:rsid w:val="002F6E11"/>
    <w:rsid w:val="0030164B"/>
    <w:rsid w:val="00310AF8"/>
    <w:rsid w:val="00317263"/>
    <w:rsid w:val="00317E1B"/>
    <w:rsid w:val="003240B0"/>
    <w:rsid w:val="00327234"/>
    <w:rsid w:val="0033221B"/>
    <w:rsid w:val="00332551"/>
    <w:rsid w:val="00332C33"/>
    <w:rsid w:val="00333BD3"/>
    <w:rsid w:val="00335AB2"/>
    <w:rsid w:val="00336E4E"/>
    <w:rsid w:val="00337EF1"/>
    <w:rsid w:val="00341C88"/>
    <w:rsid w:val="00341EC8"/>
    <w:rsid w:val="00341F1F"/>
    <w:rsid w:val="00350E6A"/>
    <w:rsid w:val="003600CF"/>
    <w:rsid w:val="003603DE"/>
    <w:rsid w:val="003616D5"/>
    <w:rsid w:val="00364D08"/>
    <w:rsid w:val="003767CD"/>
    <w:rsid w:val="003841F8"/>
    <w:rsid w:val="0039487D"/>
    <w:rsid w:val="0039571D"/>
    <w:rsid w:val="00397048"/>
    <w:rsid w:val="003A30A4"/>
    <w:rsid w:val="003A3650"/>
    <w:rsid w:val="003A5662"/>
    <w:rsid w:val="003A7898"/>
    <w:rsid w:val="003A7EFB"/>
    <w:rsid w:val="003B2716"/>
    <w:rsid w:val="003B5034"/>
    <w:rsid w:val="003C44E6"/>
    <w:rsid w:val="003D2F89"/>
    <w:rsid w:val="003D4334"/>
    <w:rsid w:val="003D6D60"/>
    <w:rsid w:val="003D6F29"/>
    <w:rsid w:val="003E0FCC"/>
    <w:rsid w:val="003E4C26"/>
    <w:rsid w:val="003E4F26"/>
    <w:rsid w:val="003E6EA0"/>
    <w:rsid w:val="003F0588"/>
    <w:rsid w:val="003F1216"/>
    <w:rsid w:val="003F2AC1"/>
    <w:rsid w:val="003F5A09"/>
    <w:rsid w:val="00411603"/>
    <w:rsid w:val="00411CA7"/>
    <w:rsid w:val="00416017"/>
    <w:rsid w:val="00417BC0"/>
    <w:rsid w:val="00423476"/>
    <w:rsid w:val="00425859"/>
    <w:rsid w:val="004263BD"/>
    <w:rsid w:val="00426938"/>
    <w:rsid w:val="00427993"/>
    <w:rsid w:val="004309DF"/>
    <w:rsid w:val="00433BAB"/>
    <w:rsid w:val="004415F5"/>
    <w:rsid w:val="0045088C"/>
    <w:rsid w:val="00455822"/>
    <w:rsid w:val="00456E38"/>
    <w:rsid w:val="00460486"/>
    <w:rsid w:val="00461561"/>
    <w:rsid w:val="00462ADC"/>
    <w:rsid w:val="00462EE7"/>
    <w:rsid w:val="00470945"/>
    <w:rsid w:val="00472699"/>
    <w:rsid w:val="0047282A"/>
    <w:rsid w:val="00472EE2"/>
    <w:rsid w:val="004740D7"/>
    <w:rsid w:val="0047484B"/>
    <w:rsid w:val="00476490"/>
    <w:rsid w:val="00480420"/>
    <w:rsid w:val="0048587B"/>
    <w:rsid w:val="00486695"/>
    <w:rsid w:val="00491090"/>
    <w:rsid w:val="004A1670"/>
    <w:rsid w:val="004A1D05"/>
    <w:rsid w:val="004A2FF5"/>
    <w:rsid w:val="004B2DEF"/>
    <w:rsid w:val="004B31F9"/>
    <w:rsid w:val="004B3F8A"/>
    <w:rsid w:val="004C12B9"/>
    <w:rsid w:val="004C4644"/>
    <w:rsid w:val="004C5CF4"/>
    <w:rsid w:val="004C7476"/>
    <w:rsid w:val="004C7800"/>
    <w:rsid w:val="004D156C"/>
    <w:rsid w:val="004E18AC"/>
    <w:rsid w:val="004E78F0"/>
    <w:rsid w:val="00503B39"/>
    <w:rsid w:val="00505C07"/>
    <w:rsid w:val="00505E99"/>
    <w:rsid w:val="00507E69"/>
    <w:rsid w:val="005112EA"/>
    <w:rsid w:val="00511645"/>
    <w:rsid w:val="00511F0F"/>
    <w:rsid w:val="00512806"/>
    <w:rsid w:val="00515418"/>
    <w:rsid w:val="005230BF"/>
    <w:rsid w:val="00524349"/>
    <w:rsid w:val="00527516"/>
    <w:rsid w:val="00532989"/>
    <w:rsid w:val="00532D4A"/>
    <w:rsid w:val="00536D19"/>
    <w:rsid w:val="00537AA5"/>
    <w:rsid w:val="00537CB9"/>
    <w:rsid w:val="00542003"/>
    <w:rsid w:val="00543DFE"/>
    <w:rsid w:val="005500CF"/>
    <w:rsid w:val="00551CFA"/>
    <w:rsid w:val="0055288A"/>
    <w:rsid w:val="00552BD8"/>
    <w:rsid w:val="00556462"/>
    <w:rsid w:val="00563C58"/>
    <w:rsid w:val="00564F1D"/>
    <w:rsid w:val="00564F48"/>
    <w:rsid w:val="00565A49"/>
    <w:rsid w:val="00574313"/>
    <w:rsid w:val="0057558D"/>
    <w:rsid w:val="0057654F"/>
    <w:rsid w:val="00585198"/>
    <w:rsid w:val="00586008"/>
    <w:rsid w:val="00590BAC"/>
    <w:rsid w:val="00597DA2"/>
    <w:rsid w:val="005A0049"/>
    <w:rsid w:val="005A1F42"/>
    <w:rsid w:val="005A3B6C"/>
    <w:rsid w:val="005A4916"/>
    <w:rsid w:val="005A4BC9"/>
    <w:rsid w:val="005A58EC"/>
    <w:rsid w:val="005B27B0"/>
    <w:rsid w:val="005B463E"/>
    <w:rsid w:val="005B739D"/>
    <w:rsid w:val="005B798B"/>
    <w:rsid w:val="005C16DB"/>
    <w:rsid w:val="005C5453"/>
    <w:rsid w:val="005D6DE4"/>
    <w:rsid w:val="005E42F7"/>
    <w:rsid w:val="005F18E8"/>
    <w:rsid w:val="005F1FC8"/>
    <w:rsid w:val="006101E7"/>
    <w:rsid w:val="0061042B"/>
    <w:rsid w:val="006105E3"/>
    <w:rsid w:val="006159F6"/>
    <w:rsid w:val="00622380"/>
    <w:rsid w:val="00623A42"/>
    <w:rsid w:val="0062729B"/>
    <w:rsid w:val="0063124E"/>
    <w:rsid w:val="00631862"/>
    <w:rsid w:val="00632A7A"/>
    <w:rsid w:val="00632B4A"/>
    <w:rsid w:val="00636541"/>
    <w:rsid w:val="00640C13"/>
    <w:rsid w:val="006444EC"/>
    <w:rsid w:val="00645DF3"/>
    <w:rsid w:val="006466E8"/>
    <w:rsid w:val="00651C29"/>
    <w:rsid w:val="00654845"/>
    <w:rsid w:val="00657355"/>
    <w:rsid w:val="006611C6"/>
    <w:rsid w:val="006654F4"/>
    <w:rsid w:val="00670B3B"/>
    <w:rsid w:val="00671543"/>
    <w:rsid w:val="00671FB0"/>
    <w:rsid w:val="00677803"/>
    <w:rsid w:val="00680064"/>
    <w:rsid w:val="00682F5A"/>
    <w:rsid w:val="00686AB1"/>
    <w:rsid w:val="00692A76"/>
    <w:rsid w:val="006A5685"/>
    <w:rsid w:val="006A5CFD"/>
    <w:rsid w:val="006A63F1"/>
    <w:rsid w:val="006B1A9D"/>
    <w:rsid w:val="006B2A97"/>
    <w:rsid w:val="006B4B48"/>
    <w:rsid w:val="006C2141"/>
    <w:rsid w:val="006C36F8"/>
    <w:rsid w:val="006C4F35"/>
    <w:rsid w:val="006C5D68"/>
    <w:rsid w:val="006C6891"/>
    <w:rsid w:val="006C78EE"/>
    <w:rsid w:val="006D25CF"/>
    <w:rsid w:val="006D3822"/>
    <w:rsid w:val="006D49DA"/>
    <w:rsid w:val="006D55D3"/>
    <w:rsid w:val="006D5710"/>
    <w:rsid w:val="006D5E0D"/>
    <w:rsid w:val="006E09F6"/>
    <w:rsid w:val="006E32C0"/>
    <w:rsid w:val="006E5207"/>
    <w:rsid w:val="006E5820"/>
    <w:rsid w:val="006E6759"/>
    <w:rsid w:val="006F26EE"/>
    <w:rsid w:val="006F3AAE"/>
    <w:rsid w:val="006F3CF7"/>
    <w:rsid w:val="006F4E43"/>
    <w:rsid w:val="006F5AA4"/>
    <w:rsid w:val="006F72E3"/>
    <w:rsid w:val="00702D7E"/>
    <w:rsid w:val="00704197"/>
    <w:rsid w:val="00704442"/>
    <w:rsid w:val="007044F2"/>
    <w:rsid w:val="0070679D"/>
    <w:rsid w:val="007112D0"/>
    <w:rsid w:val="00715495"/>
    <w:rsid w:val="00720EA1"/>
    <w:rsid w:val="00721D76"/>
    <w:rsid w:val="00722A76"/>
    <w:rsid w:val="007259EB"/>
    <w:rsid w:val="00725A54"/>
    <w:rsid w:val="007307D4"/>
    <w:rsid w:val="00731A4E"/>
    <w:rsid w:val="00736BA1"/>
    <w:rsid w:val="00740BC3"/>
    <w:rsid w:val="00740F05"/>
    <w:rsid w:val="00744A2F"/>
    <w:rsid w:val="007573C5"/>
    <w:rsid w:val="0076301D"/>
    <w:rsid w:val="00767064"/>
    <w:rsid w:val="00771173"/>
    <w:rsid w:val="0077283F"/>
    <w:rsid w:val="00773311"/>
    <w:rsid w:val="00781847"/>
    <w:rsid w:val="00784863"/>
    <w:rsid w:val="00784944"/>
    <w:rsid w:val="00785D59"/>
    <w:rsid w:val="007931D2"/>
    <w:rsid w:val="00794B76"/>
    <w:rsid w:val="0079514A"/>
    <w:rsid w:val="007A3023"/>
    <w:rsid w:val="007A47CD"/>
    <w:rsid w:val="007B0B6F"/>
    <w:rsid w:val="007B1C0F"/>
    <w:rsid w:val="007B2CD7"/>
    <w:rsid w:val="007B3688"/>
    <w:rsid w:val="007B3ED9"/>
    <w:rsid w:val="007B4000"/>
    <w:rsid w:val="007B7776"/>
    <w:rsid w:val="007B78D0"/>
    <w:rsid w:val="007C0B32"/>
    <w:rsid w:val="007C21F4"/>
    <w:rsid w:val="007C4B9D"/>
    <w:rsid w:val="007C7EC8"/>
    <w:rsid w:val="007E2EA4"/>
    <w:rsid w:val="007E3689"/>
    <w:rsid w:val="007E4276"/>
    <w:rsid w:val="007F317B"/>
    <w:rsid w:val="007F7296"/>
    <w:rsid w:val="007F78D7"/>
    <w:rsid w:val="00801521"/>
    <w:rsid w:val="00801B8E"/>
    <w:rsid w:val="008158F5"/>
    <w:rsid w:val="0082682A"/>
    <w:rsid w:val="00830D97"/>
    <w:rsid w:val="00834352"/>
    <w:rsid w:val="00834D63"/>
    <w:rsid w:val="00837BD8"/>
    <w:rsid w:val="00837EB9"/>
    <w:rsid w:val="00840952"/>
    <w:rsid w:val="008455FE"/>
    <w:rsid w:val="00846AE5"/>
    <w:rsid w:val="008517A8"/>
    <w:rsid w:val="00852788"/>
    <w:rsid w:val="00855A51"/>
    <w:rsid w:val="008601C1"/>
    <w:rsid w:val="008611DE"/>
    <w:rsid w:val="00862390"/>
    <w:rsid w:val="0086349D"/>
    <w:rsid w:val="008639B5"/>
    <w:rsid w:val="00865D94"/>
    <w:rsid w:val="00870B3E"/>
    <w:rsid w:val="00872003"/>
    <w:rsid w:val="00885725"/>
    <w:rsid w:val="00886BBD"/>
    <w:rsid w:val="008908B4"/>
    <w:rsid w:val="00891806"/>
    <w:rsid w:val="008A0126"/>
    <w:rsid w:val="008A1A9E"/>
    <w:rsid w:val="008A23F6"/>
    <w:rsid w:val="008B0436"/>
    <w:rsid w:val="008B0966"/>
    <w:rsid w:val="008C06A3"/>
    <w:rsid w:val="008C07C2"/>
    <w:rsid w:val="008C2628"/>
    <w:rsid w:val="008C3C39"/>
    <w:rsid w:val="008C54AB"/>
    <w:rsid w:val="008C6485"/>
    <w:rsid w:val="008D1B16"/>
    <w:rsid w:val="008D2E4D"/>
    <w:rsid w:val="008D3B48"/>
    <w:rsid w:val="008D4367"/>
    <w:rsid w:val="008D4D6E"/>
    <w:rsid w:val="008D4E42"/>
    <w:rsid w:val="008D52DE"/>
    <w:rsid w:val="008E0802"/>
    <w:rsid w:val="008E232A"/>
    <w:rsid w:val="008E4472"/>
    <w:rsid w:val="008E6B49"/>
    <w:rsid w:val="008E6D49"/>
    <w:rsid w:val="008F1BBB"/>
    <w:rsid w:val="008F25FB"/>
    <w:rsid w:val="008F3AF4"/>
    <w:rsid w:val="00900FFE"/>
    <w:rsid w:val="009037A8"/>
    <w:rsid w:val="009061BC"/>
    <w:rsid w:val="009064B6"/>
    <w:rsid w:val="0091096F"/>
    <w:rsid w:val="00912FBD"/>
    <w:rsid w:val="0092044E"/>
    <w:rsid w:val="00924B98"/>
    <w:rsid w:val="00924E1F"/>
    <w:rsid w:val="00933D59"/>
    <w:rsid w:val="00935780"/>
    <w:rsid w:val="009409D8"/>
    <w:rsid w:val="009409F6"/>
    <w:rsid w:val="0094739D"/>
    <w:rsid w:val="00952EF6"/>
    <w:rsid w:val="00953E8D"/>
    <w:rsid w:val="00954B08"/>
    <w:rsid w:val="00960091"/>
    <w:rsid w:val="00965073"/>
    <w:rsid w:val="00970400"/>
    <w:rsid w:val="0097439A"/>
    <w:rsid w:val="0098323D"/>
    <w:rsid w:val="00983C63"/>
    <w:rsid w:val="009857EF"/>
    <w:rsid w:val="00985C18"/>
    <w:rsid w:val="00986D3B"/>
    <w:rsid w:val="009921D0"/>
    <w:rsid w:val="00994CAD"/>
    <w:rsid w:val="00995759"/>
    <w:rsid w:val="009A053A"/>
    <w:rsid w:val="009A0E26"/>
    <w:rsid w:val="009A6F8C"/>
    <w:rsid w:val="009B442D"/>
    <w:rsid w:val="009B69E3"/>
    <w:rsid w:val="009C03F4"/>
    <w:rsid w:val="009C5623"/>
    <w:rsid w:val="009C6959"/>
    <w:rsid w:val="009D1C00"/>
    <w:rsid w:val="009D2BCE"/>
    <w:rsid w:val="009D5258"/>
    <w:rsid w:val="009E33C3"/>
    <w:rsid w:val="009E39A2"/>
    <w:rsid w:val="009E3BCA"/>
    <w:rsid w:val="009E41E0"/>
    <w:rsid w:val="009E589D"/>
    <w:rsid w:val="009F087E"/>
    <w:rsid w:val="009F308F"/>
    <w:rsid w:val="009F56AE"/>
    <w:rsid w:val="009F678C"/>
    <w:rsid w:val="00A0100A"/>
    <w:rsid w:val="00A01D83"/>
    <w:rsid w:val="00A03472"/>
    <w:rsid w:val="00A0556D"/>
    <w:rsid w:val="00A06ED5"/>
    <w:rsid w:val="00A12AC5"/>
    <w:rsid w:val="00A17A9B"/>
    <w:rsid w:val="00A2021F"/>
    <w:rsid w:val="00A229C8"/>
    <w:rsid w:val="00A22DAD"/>
    <w:rsid w:val="00A269DB"/>
    <w:rsid w:val="00A27ABB"/>
    <w:rsid w:val="00A35447"/>
    <w:rsid w:val="00A3578D"/>
    <w:rsid w:val="00A40635"/>
    <w:rsid w:val="00A42719"/>
    <w:rsid w:val="00A516ED"/>
    <w:rsid w:val="00A546C3"/>
    <w:rsid w:val="00A56453"/>
    <w:rsid w:val="00A56464"/>
    <w:rsid w:val="00A60246"/>
    <w:rsid w:val="00A62F8C"/>
    <w:rsid w:val="00A63B52"/>
    <w:rsid w:val="00A659A9"/>
    <w:rsid w:val="00A65A85"/>
    <w:rsid w:val="00A67E99"/>
    <w:rsid w:val="00A73EB2"/>
    <w:rsid w:val="00A758F6"/>
    <w:rsid w:val="00A75FFA"/>
    <w:rsid w:val="00A778B1"/>
    <w:rsid w:val="00A81F6E"/>
    <w:rsid w:val="00A84BBF"/>
    <w:rsid w:val="00A85915"/>
    <w:rsid w:val="00A86E91"/>
    <w:rsid w:val="00A87017"/>
    <w:rsid w:val="00A90D62"/>
    <w:rsid w:val="00A9159F"/>
    <w:rsid w:val="00AA42CF"/>
    <w:rsid w:val="00AA492F"/>
    <w:rsid w:val="00AA51ED"/>
    <w:rsid w:val="00AB2E3B"/>
    <w:rsid w:val="00AB35A1"/>
    <w:rsid w:val="00AC59FF"/>
    <w:rsid w:val="00AD10C0"/>
    <w:rsid w:val="00AD20D2"/>
    <w:rsid w:val="00AD59AA"/>
    <w:rsid w:val="00AE28F6"/>
    <w:rsid w:val="00AE7811"/>
    <w:rsid w:val="00AF5C05"/>
    <w:rsid w:val="00AF6FED"/>
    <w:rsid w:val="00AF70E9"/>
    <w:rsid w:val="00AF70F0"/>
    <w:rsid w:val="00B060AB"/>
    <w:rsid w:val="00B0719F"/>
    <w:rsid w:val="00B073C3"/>
    <w:rsid w:val="00B106AE"/>
    <w:rsid w:val="00B203E9"/>
    <w:rsid w:val="00B217B9"/>
    <w:rsid w:val="00B21B28"/>
    <w:rsid w:val="00B23531"/>
    <w:rsid w:val="00B27B2D"/>
    <w:rsid w:val="00B30925"/>
    <w:rsid w:val="00B34597"/>
    <w:rsid w:val="00B36AA3"/>
    <w:rsid w:val="00B4132B"/>
    <w:rsid w:val="00B43CE1"/>
    <w:rsid w:val="00B45EBA"/>
    <w:rsid w:val="00B516FE"/>
    <w:rsid w:val="00B51BC7"/>
    <w:rsid w:val="00B530B2"/>
    <w:rsid w:val="00B550B1"/>
    <w:rsid w:val="00B571FC"/>
    <w:rsid w:val="00B5769A"/>
    <w:rsid w:val="00B67338"/>
    <w:rsid w:val="00B70DF1"/>
    <w:rsid w:val="00B7634D"/>
    <w:rsid w:val="00B76B8D"/>
    <w:rsid w:val="00B76BD4"/>
    <w:rsid w:val="00B77A43"/>
    <w:rsid w:val="00B8131A"/>
    <w:rsid w:val="00B817A6"/>
    <w:rsid w:val="00B92C5B"/>
    <w:rsid w:val="00B9313E"/>
    <w:rsid w:val="00B9572C"/>
    <w:rsid w:val="00B95D86"/>
    <w:rsid w:val="00B968D6"/>
    <w:rsid w:val="00BA47A7"/>
    <w:rsid w:val="00BA4AB8"/>
    <w:rsid w:val="00BB0650"/>
    <w:rsid w:val="00BB257A"/>
    <w:rsid w:val="00BB31CF"/>
    <w:rsid w:val="00BB44A7"/>
    <w:rsid w:val="00BB4D9A"/>
    <w:rsid w:val="00BB54B3"/>
    <w:rsid w:val="00BB6501"/>
    <w:rsid w:val="00BC1BCF"/>
    <w:rsid w:val="00BC387F"/>
    <w:rsid w:val="00BC44DF"/>
    <w:rsid w:val="00BC4B03"/>
    <w:rsid w:val="00BC54BC"/>
    <w:rsid w:val="00BC6341"/>
    <w:rsid w:val="00BC7B70"/>
    <w:rsid w:val="00BD0747"/>
    <w:rsid w:val="00BD71F6"/>
    <w:rsid w:val="00BE089F"/>
    <w:rsid w:val="00BE15DA"/>
    <w:rsid w:val="00BE37BC"/>
    <w:rsid w:val="00BF026E"/>
    <w:rsid w:val="00BF13DD"/>
    <w:rsid w:val="00BF1A36"/>
    <w:rsid w:val="00BF32C0"/>
    <w:rsid w:val="00BF42D5"/>
    <w:rsid w:val="00BF46E8"/>
    <w:rsid w:val="00C0448B"/>
    <w:rsid w:val="00C16CC4"/>
    <w:rsid w:val="00C20FF7"/>
    <w:rsid w:val="00C26628"/>
    <w:rsid w:val="00C30355"/>
    <w:rsid w:val="00C31CE3"/>
    <w:rsid w:val="00C34892"/>
    <w:rsid w:val="00C40B65"/>
    <w:rsid w:val="00C430E0"/>
    <w:rsid w:val="00C43DDE"/>
    <w:rsid w:val="00C441F8"/>
    <w:rsid w:val="00C463E5"/>
    <w:rsid w:val="00C50E80"/>
    <w:rsid w:val="00C519DC"/>
    <w:rsid w:val="00C51A95"/>
    <w:rsid w:val="00C61605"/>
    <w:rsid w:val="00C621DC"/>
    <w:rsid w:val="00C65815"/>
    <w:rsid w:val="00C7143F"/>
    <w:rsid w:val="00C8454C"/>
    <w:rsid w:val="00C853D7"/>
    <w:rsid w:val="00C8649A"/>
    <w:rsid w:val="00C872B9"/>
    <w:rsid w:val="00C87D36"/>
    <w:rsid w:val="00C907E3"/>
    <w:rsid w:val="00C92F29"/>
    <w:rsid w:val="00C9664E"/>
    <w:rsid w:val="00C967A8"/>
    <w:rsid w:val="00C9712A"/>
    <w:rsid w:val="00CA0DAB"/>
    <w:rsid w:val="00CA35D7"/>
    <w:rsid w:val="00CB1399"/>
    <w:rsid w:val="00CB55FC"/>
    <w:rsid w:val="00CB5D7F"/>
    <w:rsid w:val="00CC1477"/>
    <w:rsid w:val="00CC315C"/>
    <w:rsid w:val="00CC4E2F"/>
    <w:rsid w:val="00CD13C4"/>
    <w:rsid w:val="00CD18F7"/>
    <w:rsid w:val="00CD3954"/>
    <w:rsid w:val="00CE0777"/>
    <w:rsid w:val="00CE4934"/>
    <w:rsid w:val="00CE5CD0"/>
    <w:rsid w:val="00CF0111"/>
    <w:rsid w:val="00CF0740"/>
    <w:rsid w:val="00CF2C74"/>
    <w:rsid w:val="00CF3951"/>
    <w:rsid w:val="00CF4654"/>
    <w:rsid w:val="00CF6BE6"/>
    <w:rsid w:val="00D0642B"/>
    <w:rsid w:val="00D06E2C"/>
    <w:rsid w:val="00D07E8D"/>
    <w:rsid w:val="00D12461"/>
    <w:rsid w:val="00D12540"/>
    <w:rsid w:val="00D1386D"/>
    <w:rsid w:val="00D172FF"/>
    <w:rsid w:val="00D2247E"/>
    <w:rsid w:val="00D227E2"/>
    <w:rsid w:val="00D241F4"/>
    <w:rsid w:val="00D26987"/>
    <w:rsid w:val="00D347CC"/>
    <w:rsid w:val="00D355B0"/>
    <w:rsid w:val="00D41472"/>
    <w:rsid w:val="00D4497B"/>
    <w:rsid w:val="00D51840"/>
    <w:rsid w:val="00D568BB"/>
    <w:rsid w:val="00D6358A"/>
    <w:rsid w:val="00D6621C"/>
    <w:rsid w:val="00D664BA"/>
    <w:rsid w:val="00D7125A"/>
    <w:rsid w:val="00D712AA"/>
    <w:rsid w:val="00D74E30"/>
    <w:rsid w:val="00D76A04"/>
    <w:rsid w:val="00D807A9"/>
    <w:rsid w:val="00D84CAF"/>
    <w:rsid w:val="00D867C4"/>
    <w:rsid w:val="00D87E2C"/>
    <w:rsid w:val="00D90850"/>
    <w:rsid w:val="00D96B93"/>
    <w:rsid w:val="00D97F32"/>
    <w:rsid w:val="00DA5438"/>
    <w:rsid w:val="00DA54D6"/>
    <w:rsid w:val="00DA6258"/>
    <w:rsid w:val="00DA68D9"/>
    <w:rsid w:val="00DB408E"/>
    <w:rsid w:val="00DB7B87"/>
    <w:rsid w:val="00DC03D6"/>
    <w:rsid w:val="00DC04C2"/>
    <w:rsid w:val="00DC3A0E"/>
    <w:rsid w:val="00DC73B6"/>
    <w:rsid w:val="00DD0AD6"/>
    <w:rsid w:val="00DD2447"/>
    <w:rsid w:val="00DD270E"/>
    <w:rsid w:val="00DD2951"/>
    <w:rsid w:val="00DD43B5"/>
    <w:rsid w:val="00DE02A4"/>
    <w:rsid w:val="00DE1101"/>
    <w:rsid w:val="00DE55C2"/>
    <w:rsid w:val="00DF20B0"/>
    <w:rsid w:val="00DF3F00"/>
    <w:rsid w:val="00DF5388"/>
    <w:rsid w:val="00DF592A"/>
    <w:rsid w:val="00DF5B7B"/>
    <w:rsid w:val="00DF6AB2"/>
    <w:rsid w:val="00DF730B"/>
    <w:rsid w:val="00E00A98"/>
    <w:rsid w:val="00E041F9"/>
    <w:rsid w:val="00E05816"/>
    <w:rsid w:val="00E06979"/>
    <w:rsid w:val="00E06A54"/>
    <w:rsid w:val="00E1370C"/>
    <w:rsid w:val="00E15B51"/>
    <w:rsid w:val="00E15CA3"/>
    <w:rsid w:val="00E222A6"/>
    <w:rsid w:val="00E23135"/>
    <w:rsid w:val="00E25BA7"/>
    <w:rsid w:val="00E2650D"/>
    <w:rsid w:val="00E335E2"/>
    <w:rsid w:val="00E33834"/>
    <w:rsid w:val="00E33CCD"/>
    <w:rsid w:val="00E35772"/>
    <w:rsid w:val="00E40D05"/>
    <w:rsid w:val="00E41CB3"/>
    <w:rsid w:val="00E4621A"/>
    <w:rsid w:val="00E4735F"/>
    <w:rsid w:val="00E53B6F"/>
    <w:rsid w:val="00E5521A"/>
    <w:rsid w:val="00E61F7D"/>
    <w:rsid w:val="00E62AAA"/>
    <w:rsid w:val="00E6569C"/>
    <w:rsid w:val="00E71975"/>
    <w:rsid w:val="00E75291"/>
    <w:rsid w:val="00E83550"/>
    <w:rsid w:val="00E84CF1"/>
    <w:rsid w:val="00E87E17"/>
    <w:rsid w:val="00E962BE"/>
    <w:rsid w:val="00E96EA1"/>
    <w:rsid w:val="00EA38C6"/>
    <w:rsid w:val="00EB099D"/>
    <w:rsid w:val="00EB14EF"/>
    <w:rsid w:val="00EB1BF9"/>
    <w:rsid w:val="00EB32A0"/>
    <w:rsid w:val="00EB43BE"/>
    <w:rsid w:val="00EB5184"/>
    <w:rsid w:val="00EC0D71"/>
    <w:rsid w:val="00EC247E"/>
    <w:rsid w:val="00EC46AD"/>
    <w:rsid w:val="00ED37AC"/>
    <w:rsid w:val="00EE0CED"/>
    <w:rsid w:val="00EE42C5"/>
    <w:rsid w:val="00EE6CDA"/>
    <w:rsid w:val="00EF051D"/>
    <w:rsid w:val="00EF4217"/>
    <w:rsid w:val="00EF74E0"/>
    <w:rsid w:val="00EF7FF4"/>
    <w:rsid w:val="00F005EF"/>
    <w:rsid w:val="00F00925"/>
    <w:rsid w:val="00F0258B"/>
    <w:rsid w:val="00F03E4C"/>
    <w:rsid w:val="00F043D3"/>
    <w:rsid w:val="00F05288"/>
    <w:rsid w:val="00F0546A"/>
    <w:rsid w:val="00F06A32"/>
    <w:rsid w:val="00F0730B"/>
    <w:rsid w:val="00F07C43"/>
    <w:rsid w:val="00F10390"/>
    <w:rsid w:val="00F155D4"/>
    <w:rsid w:val="00F17ACF"/>
    <w:rsid w:val="00F22AD6"/>
    <w:rsid w:val="00F24815"/>
    <w:rsid w:val="00F31CAB"/>
    <w:rsid w:val="00F33D85"/>
    <w:rsid w:val="00F43216"/>
    <w:rsid w:val="00F478B0"/>
    <w:rsid w:val="00F541BF"/>
    <w:rsid w:val="00F547FF"/>
    <w:rsid w:val="00F60CA0"/>
    <w:rsid w:val="00F611A1"/>
    <w:rsid w:val="00F61A4B"/>
    <w:rsid w:val="00F62B07"/>
    <w:rsid w:val="00F63E3A"/>
    <w:rsid w:val="00F7172E"/>
    <w:rsid w:val="00F75055"/>
    <w:rsid w:val="00F82ABB"/>
    <w:rsid w:val="00F83ED3"/>
    <w:rsid w:val="00F85046"/>
    <w:rsid w:val="00F87D39"/>
    <w:rsid w:val="00F942F4"/>
    <w:rsid w:val="00F94B23"/>
    <w:rsid w:val="00F96A60"/>
    <w:rsid w:val="00FA12DD"/>
    <w:rsid w:val="00FA4E27"/>
    <w:rsid w:val="00FB3B31"/>
    <w:rsid w:val="00FB69EB"/>
    <w:rsid w:val="00FC1F53"/>
    <w:rsid w:val="00FE383A"/>
    <w:rsid w:val="00FE653A"/>
    <w:rsid w:val="00FE6688"/>
    <w:rsid w:val="00FE7A21"/>
    <w:rsid w:val="00FF1993"/>
    <w:rsid w:val="00FF764C"/>
    <w:rsid w:val="00FF7777"/>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04C"/>
  <w15:docId w15:val="{D6880FDD-5422-4888-B2F5-C64DE760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semiHidden/>
    <w:unhideWhenUsed/>
    <w:rsid w:val="003D6F29"/>
    <w:pPr>
      <w:spacing w:line="240" w:lineRule="auto"/>
    </w:pPr>
    <w:rPr>
      <w:sz w:val="20"/>
      <w:szCs w:val="20"/>
    </w:rPr>
  </w:style>
  <w:style w:type="character" w:customStyle="1" w:styleId="CommentTextChar">
    <w:name w:val="Comment Text Char"/>
    <w:link w:val="CommentText"/>
    <w:uiPriority w:val="99"/>
    <w:semiHidden/>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33BAB"/>
    <w:rPr>
      <w:i/>
      <w:iCs/>
    </w:rPr>
  </w:style>
  <w:style w:type="character" w:styleId="FollowedHyperlink">
    <w:name w:val="FollowedHyperlink"/>
    <w:uiPriority w:val="99"/>
    <w:semiHidden/>
    <w:unhideWhenUsed/>
    <w:rsid w:val="007E3689"/>
    <w:rPr>
      <w:color w:val="800080"/>
      <w:u w:val="single"/>
    </w:rPr>
  </w:style>
  <w:style w:type="paragraph" w:customStyle="1" w:styleId="FraportText">
    <w:name w:val="FraportText"/>
    <w:basedOn w:val="Normal"/>
    <w:uiPriority w:val="99"/>
    <w:rsid w:val="00801B8E"/>
    <w:pPr>
      <w:spacing w:after="0" w:line="255" w:lineRule="atLeast"/>
    </w:pPr>
    <w:rPr>
      <w:rFonts w:ascii="Arial" w:eastAsia="Times New Roman" w:hAnsi="Arial"/>
      <w:sz w:val="20"/>
      <w:szCs w:val="24"/>
      <w:lang w:val="en-US" w:eastAsia="en-US" w:bidi="en-US"/>
    </w:rPr>
  </w:style>
  <w:style w:type="paragraph" w:customStyle="1" w:styleId="Style5">
    <w:name w:val="Style5"/>
    <w:basedOn w:val="Normal"/>
    <w:uiPriority w:val="99"/>
    <w:rsid w:val="000C708B"/>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StyleFontStyle45BodyCalibri">
    <w:name w:val="Style Font Style45 + +Body (Calibri)"/>
    <w:uiPriority w:val="99"/>
    <w:rsid w:val="000C708B"/>
    <w:rPr>
      <w:rFonts w:ascii="Calibri" w:hAnsi="Calibri" w:cs="Times New Roman"/>
      <w:sz w:val="22"/>
    </w:rPr>
  </w:style>
  <w:style w:type="character" w:customStyle="1" w:styleId="normaltextrun">
    <w:name w:val="normaltextrun"/>
    <w:basedOn w:val="DefaultParagraphFont"/>
    <w:rsid w:val="00FF7777"/>
  </w:style>
  <w:style w:type="character" w:customStyle="1" w:styleId="eop">
    <w:name w:val="eop"/>
    <w:basedOn w:val="DefaultParagraphFont"/>
    <w:rsid w:val="00FF7777"/>
  </w:style>
  <w:style w:type="paragraph" w:customStyle="1" w:styleId="paragraph">
    <w:name w:val="paragraph"/>
    <w:basedOn w:val="Normal"/>
    <w:rsid w:val="00FF7777"/>
    <w:pPr>
      <w:spacing w:before="100" w:beforeAutospacing="1" w:after="100" w:afterAutospacing="1" w:line="240" w:lineRule="auto"/>
    </w:pPr>
    <w:rPr>
      <w:rFonts w:ascii="Times New Roman" w:eastAsia="Times New Roman" w:hAnsi="Times New Roman"/>
      <w:sz w:val="24"/>
      <w:szCs w:val="24"/>
      <w:lang w:val="en-US" w:eastAsia="en-US" w:bidi="he-IL"/>
    </w:rPr>
  </w:style>
  <w:style w:type="paragraph" w:styleId="BodyText2">
    <w:name w:val="Body Text 2"/>
    <w:aliases w:val="Body Text 2 Char1,Body Text 2 Char Char,Body Text 2 Char1 Char Char,Body Text 2 Char Char Char Char"/>
    <w:basedOn w:val="Normal"/>
    <w:link w:val="BodyText2Char"/>
    <w:rsid w:val="000C1CB6"/>
    <w:pPr>
      <w:spacing w:after="0" w:line="240" w:lineRule="auto"/>
    </w:pPr>
    <w:rPr>
      <w:rFonts w:ascii="Arial" w:eastAsia="Times New Roman" w:hAnsi="Arial" w:cs="Arial"/>
      <w:b/>
      <w:bCs/>
      <w:sz w:val="16"/>
      <w:szCs w:val="24"/>
      <w:lang w:val="en-GB" w:eastAsia="en-US"/>
    </w:rPr>
  </w:style>
  <w:style w:type="character" w:customStyle="1" w:styleId="BodyText2Char">
    <w:name w:val="Body Text 2 Char"/>
    <w:aliases w:val="Body Text 2 Char1 Char,Body Text 2 Char Char Char,Body Text 2 Char1 Char Char Char,Body Text 2 Char Char Char Char Char"/>
    <w:basedOn w:val="DefaultParagraphFont"/>
    <w:link w:val="BodyText2"/>
    <w:rsid w:val="000C1CB6"/>
    <w:rPr>
      <w:rFonts w:ascii="Arial" w:eastAsia="Times New Roman" w:hAnsi="Arial" w:cs="Arial"/>
      <w:b/>
      <w:bCs/>
      <w:sz w:val="16"/>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1973">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996701">
      <w:bodyDiv w:val="1"/>
      <w:marLeft w:val="0"/>
      <w:marRight w:val="0"/>
      <w:marTop w:val="0"/>
      <w:marBottom w:val="0"/>
      <w:divBdr>
        <w:top w:val="none" w:sz="0" w:space="0" w:color="auto"/>
        <w:left w:val="none" w:sz="0" w:space="0" w:color="auto"/>
        <w:bottom w:val="none" w:sz="0" w:space="0" w:color="auto"/>
        <w:right w:val="none" w:sz="0" w:space="0" w:color="auto"/>
      </w:divBdr>
    </w:div>
    <w:div w:id="473253688">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94255576">
      <w:bodyDiv w:val="1"/>
      <w:marLeft w:val="0"/>
      <w:marRight w:val="0"/>
      <w:marTop w:val="0"/>
      <w:marBottom w:val="0"/>
      <w:divBdr>
        <w:top w:val="none" w:sz="0" w:space="0" w:color="auto"/>
        <w:left w:val="none" w:sz="0" w:space="0" w:color="auto"/>
        <w:bottom w:val="none" w:sz="0" w:space="0" w:color="auto"/>
        <w:right w:val="none" w:sz="0" w:space="0" w:color="auto"/>
      </w:divBdr>
    </w:div>
    <w:div w:id="815294934">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1033">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28049813">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8579">
      <w:bodyDiv w:val="1"/>
      <w:marLeft w:val="0"/>
      <w:marRight w:val="0"/>
      <w:marTop w:val="0"/>
      <w:marBottom w:val="0"/>
      <w:divBdr>
        <w:top w:val="none" w:sz="0" w:space="0" w:color="auto"/>
        <w:left w:val="none" w:sz="0" w:space="0" w:color="auto"/>
        <w:bottom w:val="none" w:sz="0" w:space="0" w:color="auto"/>
        <w:right w:val="none" w:sz="0" w:space="0" w:color="auto"/>
      </w:divBdr>
    </w:div>
    <w:div w:id="1799907768">
      <w:bodyDiv w:val="1"/>
      <w:marLeft w:val="0"/>
      <w:marRight w:val="0"/>
      <w:marTop w:val="0"/>
      <w:marBottom w:val="0"/>
      <w:divBdr>
        <w:top w:val="none" w:sz="0" w:space="0" w:color="auto"/>
        <w:left w:val="none" w:sz="0" w:space="0" w:color="auto"/>
        <w:bottom w:val="none" w:sz="0" w:space="0" w:color="auto"/>
        <w:right w:val="none" w:sz="0" w:space="0" w:color="auto"/>
      </w:divBdr>
    </w:div>
    <w:div w:id="1971011292">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969A2-240D-4053-92F4-88A83E22EA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F2F8D8-B1F0-4423-A1BA-0E8D025C0425}">
  <ds:schemaRefs>
    <ds:schemaRef ds:uri="http://schemas.openxmlformats.org/officeDocument/2006/bibliography"/>
  </ds:schemaRefs>
</ds:datastoreItem>
</file>

<file path=customXml/itemProps4.xml><?xml version="1.0" encoding="utf-8"?>
<ds:datastoreItem xmlns:ds="http://schemas.openxmlformats.org/officeDocument/2006/customXml" ds:itemID="{A9667D64-0C13-45DD-8E9C-82F8244C7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2898</Words>
  <Characters>16524</Characters>
  <Application>Microsoft Office Word</Application>
  <DocSecurity>0</DocSecurity>
  <Lines>137</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19384</CharactersWithSpaces>
  <SharedDoc>false</SharedDoc>
  <HLinks>
    <vt:vector size="18" baseType="variant">
      <vt:variant>
        <vt:i4>3801111</vt:i4>
      </vt:variant>
      <vt:variant>
        <vt:i4>6</vt:i4>
      </vt:variant>
      <vt:variant>
        <vt:i4>0</vt:i4>
      </vt:variant>
      <vt:variant>
        <vt:i4>5</vt:i4>
      </vt:variant>
      <vt:variant>
        <vt:lpwstr>mailto:rhaikou@hraf.gr</vt:lpwstr>
      </vt:variant>
      <vt:variant>
        <vt:lpwstr/>
      </vt:variant>
      <vt:variant>
        <vt:i4>5308536</vt:i4>
      </vt:variant>
      <vt:variant>
        <vt:i4>3</vt:i4>
      </vt:variant>
      <vt:variant>
        <vt:i4>0</vt:i4>
      </vt:variant>
      <vt:variant>
        <vt:i4>5</vt:i4>
      </vt:variant>
      <vt:variant>
        <vt:lpwstr>mailto:press@hraf.gr</vt:lpwstr>
      </vt:variant>
      <vt:variant>
        <vt:lpwstr/>
      </vt:variant>
      <vt:variant>
        <vt:i4>4849671</vt:i4>
      </vt:variant>
      <vt:variant>
        <vt:i4>0</vt:i4>
      </vt:variant>
      <vt:variant>
        <vt:i4>0</vt:i4>
      </vt:variant>
      <vt:variant>
        <vt:i4>5</vt:i4>
      </vt:variant>
      <vt:variant>
        <vt:lpwstr>http://www.hradf.com/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Achilleas Topas</cp:lastModifiedBy>
  <cp:revision>3</cp:revision>
  <cp:lastPrinted>2018-05-29T09:21:00Z</cp:lastPrinted>
  <dcterms:created xsi:type="dcterms:W3CDTF">2024-01-15T08:23:00Z</dcterms:created>
  <dcterms:modified xsi:type="dcterms:W3CDTF">2024-01-15T12:04:00Z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2023-07-17T13:03:32Z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12fd0522-87f6-443a-bf2b-790cf2c5067e</vt:lpwstr>
  </property>
  <property fmtid="{D5CDD505-2E9C-101B-9397-08002B2CF9AE}" pid="9" name="MSIP_Label_4a1cc303-c827-4bc8-8096-cfbe6c892f41_ContentBits">
    <vt:lpwstr>0</vt:lpwstr>
  </property>
</Properties>
</file>