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1210" w14:textId="0FE029E4" w:rsidR="00F610D2" w:rsidRPr="00DC5523" w:rsidRDefault="00F610D2" w:rsidP="00F610D2">
      <w:pPr>
        <w:jc w:val="center"/>
        <w:rPr>
          <w:rFonts w:ascii="Calibri" w:hAnsi="Calibri" w:cs="Calibri"/>
          <w:lang w:val="el-GR"/>
        </w:rPr>
      </w:pPr>
      <w:r>
        <w:rPr>
          <w:noProof/>
          <w:lang w:val="el-GR" w:eastAsia="el-GR" w:bidi="ar-SA"/>
        </w:rPr>
        <w:drawing>
          <wp:inline distT="0" distB="0" distL="0" distR="0" wp14:anchorId="27B983C3" wp14:editId="1897B873">
            <wp:extent cx="2807179" cy="617220"/>
            <wp:effectExtent l="0" t="0" r="0" b="0"/>
            <wp:docPr id="1767490763"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90763" name="Picture 1" descr="A white background with blue text&#10;&#10;Description automatically generated"/>
                    <pic:cNvPicPr/>
                  </pic:nvPicPr>
                  <pic:blipFill>
                    <a:blip r:embed="rId8"/>
                    <a:stretch>
                      <a:fillRect/>
                    </a:stretch>
                  </pic:blipFill>
                  <pic:spPr>
                    <a:xfrm>
                      <a:off x="0" y="0"/>
                      <a:ext cx="2882378" cy="633754"/>
                    </a:xfrm>
                    <a:prstGeom prst="rect">
                      <a:avLst/>
                    </a:prstGeom>
                  </pic:spPr>
                </pic:pic>
              </a:graphicData>
            </a:graphic>
          </wp:inline>
        </w:drawing>
      </w:r>
      <w:r w:rsidRPr="00DC5523">
        <w:rPr>
          <w:noProof/>
          <w:lang w:val="el-GR"/>
        </w:rPr>
        <w:t xml:space="preserve">                                          </w:t>
      </w:r>
      <w:r>
        <w:rPr>
          <w:noProof/>
          <w:lang w:val="el-GR" w:eastAsia="el-GR" w:bidi="ar-SA"/>
        </w:rPr>
        <w:drawing>
          <wp:inline distT="0" distB="0" distL="0" distR="0" wp14:anchorId="31E922DC" wp14:editId="0E360A3A">
            <wp:extent cx="1882140" cy="627380"/>
            <wp:effectExtent l="0" t="0" r="3810" b="1270"/>
            <wp:docPr id="197050751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07518" name="Picture 1" descr="Blue text on a white background&#10;&#10;Description automatically generated"/>
                    <pic:cNvPicPr/>
                  </pic:nvPicPr>
                  <pic:blipFill>
                    <a:blip r:embed="rId9"/>
                    <a:stretch>
                      <a:fillRect/>
                    </a:stretch>
                  </pic:blipFill>
                  <pic:spPr>
                    <a:xfrm>
                      <a:off x="0" y="0"/>
                      <a:ext cx="1882140" cy="627380"/>
                    </a:xfrm>
                    <a:prstGeom prst="rect">
                      <a:avLst/>
                    </a:prstGeom>
                  </pic:spPr>
                </pic:pic>
              </a:graphicData>
            </a:graphic>
          </wp:inline>
        </w:drawing>
      </w:r>
    </w:p>
    <w:p w14:paraId="0845851F" w14:textId="77777777" w:rsidR="00F610D2" w:rsidRPr="00DC5523" w:rsidRDefault="00F610D2" w:rsidP="00AD1AAD">
      <w:pPr>
        <w:jc w:val="right"/>
        <w:rPr>
          <w:rFonts w:ascii="Calibri" w:hAnsi="Calibri" w:cs="Calibri"/>
          <w:lang w:val="el-GR"/>
        </w:rPr>
      </w:pPr>
    </w:p>
    <w:p w14:paraId="75DC4A9E" w14:textId="0C07865D" w:rsidR="00AD1AAD" w:rsidRPr="00AD1AAD" w:rsidRDefault="00AD1AAD" w:rsidP="00AD1AAD">
      <w:pPr>
        <w:jc w:val="right"/>
        <w:rPr>
          <w:rFonts w:ascii="Calibri" w:hAnsi="Calibri" w:cs="Calibri"/>
          <w:lang w:val="el-GR"/>
        </w:rPr>
      </w:pPr>
      <w:r w:rsidRPr="00AD1AAD">
        <w:rPr>
          <w:rFonts w:ascii="Calibri" w:hAnsi="Calibri" w:cs="Calibri"/>
          <w:lang w:val="el-GR"/>
        </w:rPr>
        <w:t>Αθήνα,</w:t>
      </w:r>
      <w:r w:rsidR="00F610D2">
        <w:rPr>
          <w:rFonts w:ascii="Calibri" w:hAnsi="Calibri" w:cs="Calibri"/>
          <w:lang w:val="el-GR"/>
        </w:rPr>
        <w:t xml:space="preserve"> 1</w:t>
      </w:r>
      <w:r w:rsidR="000748EE" w:rsidRPr="00F06D8D">
        <w:rPr>
          <w:rFonts w:ascii="Calibri" w:hAnsi="Calibri" w:cs="Calibri"/>
          <w:lang w:val="el-GR"/>
        </w:rPr>
        <w:t>9</w:t>
      </w:r>
      <w:r w:rsidR="00F610D2">
        <w:rPr>
          <w:rFonts w:ascii="Calibri" w:hAnsi="Calibri" w:cs="Calibri"/>
          <w:lang w:val="el-GR"/>
        </w:rPr>
        <w:t xml:space="preserve"> </w:t>
      </w:r>
      <w:r w:rsidRPr="00AD1AAD">
        <w:rPr>
          <w:rFonts w:ascii="Calibri" w:hAnsi="Calibri" w:cs="Calibri"/>
          <w:lang w:val="el-GR"/>
        </w:rPr>
        <w:t>Δεκεμβρίου 2024</w:t>
      </w:r>
    </w:p>
    <w:p w14:paraId="11BD2747" w14:textId="1845471D" w:rsidR="00AD1AAD" w:rsidRPr="00AD1AAD" w:rsidRDefault="00AD1AAD" w:rsidP="00AD1AAD">
      <w:pPr>
        <w:jc w:val="center"/>
        <w:rPr>
          <w:rFonts w:ascii="Calibri" w:hAnsi="Calibri" w:cs="Calibri"/>
          <w:b/>
          <w:bCs/>
          <w:lang w:val="el-GR"/>
        </w:rPr>
      </w:pPr>
      <w:r w:rsidRPr="00AD1AAD">
        <w:rPr>
          <w:rFonts w:ascii="Calibri" w:hAnsi="Calibri" w:cs="Calibri"/>
          <w:b/>
          <w:bCs/>
          <w:lang w:val="el-GR"/>
        </w:rPr>
        <w:t>ΔΕΛΤΙΟ ΤΥΠΟΥ</w:t>
      </w:r>
    </w:p>
    <w:p w14:paraId="15E72366" w14:textId="653BDBFC" w:rsidR="00C649BD" w:rsidRPr="003926C7" w:rsidRDefault="062E819E" w:rsidP="003926C7">
      <w:pPr>
        <w:jc w:val="center"/>
        <w:rPr>
          <w:rFonts w:ascii="Calibri" w:hAnsi="Calibri" w:cs="Calibri"/>
          <w:b/>
          <w:bCs/>
          <w:lang w:val="el-GR"/>
        </w:rPr>
      </w:pPr>
      <w:r w:rsidRPr="19B0E28D">
        <w:rPr>
          <w:rFonts w:ascii="Calibri" w:hAnsi="Calibri" w:cs="Calibri"/>
          <w:b/>
          <w:bCs/>
          <w:lang w:val="el-GR"/>
        </w:rPr>
        <w:t xml:space="preserve">Πώληση </w:t>
      </w:r>
      <w:r w:rsidR="00C649BD" w:rsidRPr="19B0E28D">
        <w:rPr>
          <w:rFonts w:ascii="Calibri" w:hAnsi="Calibri" w:cs="Calibri"/>
          <w:b/>
          <w:bCs/>
          <w:lang w:val="el-GR"/>
        </w:rPr>
        <w:t>του 35% του μετοχικού κεφαλαίου της ΔΕΠΑ ΕΜΠΟΡΙΑΣ Α</w:t>
      </w:r>
      <w:r w:rsidR="00AD1AAD" w:rsidRPr="19B0E28D">
        <w:rPr>
          <w:rFonts w:ascii="Calibri" w:hAnsi="Calibri" w:cs="Calibri"/>
          <w:b/>
          <w:bCs/>
          <w:lang w:val="el-GR"/>
        </w:rPr>
        <w:t>.</w:t>
      </w:r>
      <w:r w:rsidR="00C649BD" w:rsidRPr="19B0E28D">
        <w:rPr>
          <w:rFonts w:ascii="Calibri" w:hAnsi="Calibri" w:cs="Calibri"/>
          <w:b/>
          <w:bCs/>
          <w:lang w:val="el-GR"/>
        </w:rPr>
        <w:t>Ε</w:t>
      </w:r>
      <w:r w:rsidR="00AD1AAD" w:rsidRPr="19B0E28D">
        <w:rPr>
          <w:rFonts w:ascii="Calibri" w:hAnsi="Calibri" w:cs="Calibri"/>
          <w:b/>
          <w:bCs/>
          <w:lang w:val="el-GR"/>
        </w:rPr>
        <w:t>.</w:t>
      </w:r>
      <w:r w:rsidR="00C649BD" w:rsidRPr="19B0E28D">
        <w:rPr>
          <w:rFonts w:ascii="Calibri" w:hAnsi="Calibri" w:cs="Calibri"/>
          <w:b/>
          <w:bCs/>
          <w:lang w:val="el-GR"/>
        </w:rPr>
        <w:t xml:space="preserve">, κυριότητας </w:t>
      </w:r>
      <w:r w:rsidR="00C649BD" w:rsidRPr="19B0E28D">
        <w:rPr>
          <w:rFonts w:ascii="Calibri" w:hAnsi="Calibri" w:cs="Calibri"/>
          <w:b/>
          <w:bCs/>
        </w:rPr>
        <w:t>HELLENiQ</w:t>
      </w:r>
      <w:r w:rsidR="00C649BD" w:rsidRPr="19B0E28D">
        <w:rPr>
          <w:rFonts w:ascii="Calibri" w:hAnsi="Calibri" w:cs="Calibri"/>
          <w:b/>
          <w:bCs/>
          <w:lang w:val="el-GR"/>
        </w:rPr>
        <w:t xml:space="preserve"> </w:t>
      </w:r>
      <w:r w:rsidR="00C649BD" w:rsidRPr="19B0E28D">
        <w:rPr>
          <w:rFonts w:ascii="Calibri" w:hAnsi="Calibri" w:cs="Calibri"/>
          <w:b/>
          <w:bCs/>
        </w:rPr>
        <w:t>ENERGY</w:t>
      </w:r>
      <w:r w:rsidR="00062DD9" w:rsidRPr="19B0E28D">
        <w:rPr>
          <w:rFonts w:ascii="Calibri" w:hAnsi="Calibri" w:cs="Calibri"/>
          <w:b/>
          <w:bCs/>
          <w:lang w:val="el-GR"/>
        </w:rPr>
        <w:t>,</w:t>
      </w:r>
      <w:r w:rsidR="00AD1AAD" w:rsidRPr="19B0E28D">
        <w:rPr>
          <w:rFonts w:ascii="Calibri" w:hAnsi="Calibri" w:cs="Calibri"/>
          <w:b/>
          <w:bCs/>
          <w:lang w:val="el-GR"/>
        </w:rPr>
        <w:t xml:space="preserve"> στο ΤΑΙΠΕΔ</w:t>
      </w:r>
    </w:p>
    <w:p w14:paraId="3135DFFA" w14:textId="28EB71ED" w:rsidR="00AD1AAD" w:rsidRPr="00AD1AAD" w:rsidRDefault="003D4D2B" w:rsidP="78A2B29B">
      <w:pPr>
        <w:jc w:val="both"/>
        <w:rPr>
          <w:rFonts w:ascii="Calibri" w:hAnsi="Calibri" w:cs="Calibri"/>
          <w:lang w:val="el-GR"/>
        </w:rPr>
      </w:pPr>
      <w:r w:rsidRPr="78A2B29B">
        <w:rPr>
          <w:rFonts w:ascii="Calibri" w:hAnsi="Calibri" w:cs="Calibri"/>
          <w:lang w:val="el-GR"/>
        </w:rPr>
        <w:t xml:space="preserve">Το </w:t>
      </w:r>
      <w:r w:rsidR="009D0508" w:rsidRPr="00141B41">
        <w:rPr>
          <w:rFonts w:ascii="Calibri" w:hAnsi="Calibri" w:cs="Calibri"/>
          <w:lang w:val="el-GR"/>
        </w:rPr>
        <w:t>Ταμείο Αξιοποίησης της Ιδιωτικής Περιουσίας του Δημοσίου</w:t>
      </w:r>
      <w:r w:rsidR="009D0508">
        <w:rPr>
          <w:rFonts w:ascii="Calibri" w:hAnsi="Calibri" w:cs="Calibri"/>
          <w:lang w:val="el-GR"/>
        </w:rPr>
        <w:t xml:space="preserve"> (εφεξής το «</w:t>
      </w:r>
      <w:r w:rsidR="009D0508" w:rsidRPr="78A2B29B">
        <w:rPr>
          <w:rFonts w:ascii="Calibri" w:hAnsi="Calibri" w:cs="Calibri"/>
          <w:lang w:val="el-GR"/>
        </w:rPr>
        <w:t>ΤΑΙΠΕΔ</w:t>
      </w:r>
      <w:r w:rsidR="009D0508">
        <w:rPr>
          <w:rFonts w:ascii="Calibri" w:hAnsi="Calibri" w:cs="Calibri"/>
          <w:lang w:val="el-GR"/>
        </w:rPr>
        <w:t>»)</w:t>
      </w:r>
      <w:r w:rsidR="009D0508" w:rsidRPr="78A2B29B">
        <w:rPr>
          <w:rFonts w:ascii="Calibri" w:hAnsi="Calibri" w:cs="Calibri"/>
          <w:lang w:val="el-GR"/>
        </w:rPr>
        <w:t>,</w:t>
      </w:r>
      <w:r w:rsidR="009D0508">
        <w:rPr>
          <w:rFonts w:ascii="Calibri" w:hAnsi="Calibri" w:cs="Calibri"/>
          <w:lang w:val="el-GR"/>
        </w:rPr>
        <w:t xml:space="preserve"> εταιρεία</w:t>
      </w:r>
      <w:r w:rsidR="00011DFB" w:rsidRPr="00011DFB">
        <w:rPr>
          <w:rFonts w:ascii="Calibri" w:hAnsi="Calibri" w:cs="Calibri"/>
          <w:lang w:val="el-GR"/>
        </w:rPr>
        <w:t xml:space="preserve"> </w:t>
      </w:r>
      <w:r w:rsidR="00011DFB">
        <w:rPr>
          <w:rFonts w:ascii="Calibri" w:hAnsi="Calibri" w:cs="Calibri"/>
          <w:lang w:val="el-GR"/>
        </w:rPr>
        <w:t xml:space="preserve">μέλος </w:t>
      </w:r>
      <w:r w:rsidR="00AD1AAD" w:rsidRPr="78A2B29B">
        <w:rPr>
          <w:rFonts w:ascii="Calibri" w:hAnsi="Calibri" w:cs="Calibri"/>
          <w:lang w:val="el-GR"/>
        </w:rPr>
        <w:t>του Υπερταμείου,</w:t>
      </w:r>
      <w:r w:rsidRPr="78A2B29B">
        <w:rPr>
          <w:rFonts w:ascii="Calibri" w:hAnsi="Calibri" w:cs="Calibri"/>
          <w:lang w:val="el-GR"/>
        </w:rPr>
        <w:t xml:space="preserve"> και η </w:t>
      </w:r>
      <w:r w:rsidRPr="78A2B29B">
        <w:rPr>
          <w:rFonts w:ascii="Calibri" w:hAnsi="Calibri" w:cs="Calibri"/>
        </w:rPr>
        <w:t>HELLEN</w:t>
      </w:r>
      <w:r w:rsidR="00AD1AAD" w:rsidRPr="78A2B29B">
        <w:rPr>
          <w:rFonts w:ascii="Calibri" w:hAnsi="Calibri" w:cs="Calibri"/>
        </w:rPr>
        <w:t>iQ</w:t>
      </w:r>
      <w:r w:rsidRPr="78A2B29B">
        <w:rPr>
          <w:rFonts w:ascii="Calibri" w:hAnsi="Calibri" w:cs="Calibri"/>
          <w:lang w:val="el-GR"/>
        </w:rPr>
        <w:t xml:space="preserve"> </w:t>
      </w:r>
      <w:r w:rsidRPr="78A2B29B">
        <w:rPr>
          <w:rFonts w:ascii="Calibri" w:hAnsi="Calibri" w:cs="Calibri"/>
        </w:rPr>
        <w:t>E</w:t>
      </w:r>
      <w:r w:rsidR="00967C1D">
        <w:rPr>
          <w:rFonts w:ascii="Calibri" w:hAnsi="Calibri" w:cs="Calibri"/>
        </w:rPr>
        <w:t>NERGY</w:t>
      </w:r>
      <w:r w:rsidRPr="78A2B29B">
        <w:rPr>
          <w:rFonts w:ascii="Calibri" w:hAnsi="Calibri" w:cs="Calibri"/>
          <w:lang w:val="el-GR"/>
        </w:rPr>
        <w:t xml:space="preserve"> </w:t>
      </w:r>
      <w:r w:rsidR="00501742" w:rsidRPr="78A2B29B">
        <w:rPr>
          <w:rFonts w:ascii="Calibri" w:hAnsi="Calibri" w:cs="Calibri"/>
        </w:rPr>
        <w:t>H</w:t>
      </w:r>
      <w:r w:rsidR="00AD1AAD" w:rsidRPr="78A2B29B">
        <w:rPr>
          <w:rFonts w:ascii="Calibri" w:hAnsi="Calibri" w:cs="Calibri"/>
        </w:rPr>
        <w:t>oldings</w:t>
      </w:r>
      <w:r w:rsidR="00501742" w:rsidRPr="78A2B29B">
        <w:rPr>
          <w:rFonts w:ascii="Calibri" w:hAnsi="Calibri" w:cs="Calibri"/>
          <w:lang w:val="el-GR"/>
        </w:rPr>
        <w:t xml:space="preserve"> </w:t>
      </w:r>
      <w:r w:rsidRPr="78A2B29B">
        <w:rPr>
          <w:rFonts w:ascii="Calibri" w:hAnsi="Calibri" w:cs="Calibri"/>
          <w:lang w:val="el-GR"/>
        </w:rPr>
        <w:t>ανακοινώνουν τη</w:t>
      </w:r>
      <w:r w:rsidR="00011DFB">
        <w:rPr>
          <w:rFonts w:ascii="Calibri" w:hAnsi="Calibri" w:cs="Calibri"/>
          <w:lang w:val="el-GR"/>
        </w:rPr>
        <w:t>ν</w:t>
      </w:r>
      <w:r w:rsidRPr="78A2B29B">
        <w:rPr>
          <w:rFonts w:ascii="Calibri" w:hAnsi="Calibri" w:cs="Calibri"/>
          <w:lang w:val="el-GR"/>
        </w:rPr>
        <w:t xml:space="preserve"> </w:t>
      </w:r>
      <w:r w:rsidR="00CA4AA2">
        <w:rPr>
          <w:rFonts w:ascii="Calibri" w:hAnsi="Calibri" w:cs="Calibri"/>
          <w:lang w:val="el-GR"/>
        </w:rPr>
        <w:t>υπογραφή</w:t>
      </w:r>
      <w:r w:rsidR="00CA4AA2" w:rsidRPr="78A2B29B">
        <w:rPr>
          <w:rFonts w:ascii="Calibri" w:hAnsi="Calibri" w:cs="Calibri"/>
          <w:lang w:val="el-GR"/>
        </w:rPr>
        <w:t xml:space="preserve"> </w:t>
      </w:r>
      <w:r w:rsidRPr="78A2B29B">
        <w:rPr>
          <w:rFonts w:ascii="Calibri" w:hAnsi="Calibri" w:cs="Calibri"/>
          <w:lang w:val="el-GR"/>
        </w:rPr>
        <w:t xml:space="preserve">συμφωνίας για την </w:t>
      </w:r>
      <w:r w:rsidR="00936F57" w:rsidRPr="78A2B29B">
        <w:rPr>
          <w:rFonts w:ascii="Calibri" w:hAnsi="Calibri" w:cs="Calibri"/>
          <w:lang w:val="el-GR"/>
        </w:rPr>
        <w:t xml:space="preserve">πώληση </w:t>
      </w:r>
      <w:r w:rsidR="00AD1AAD" w:rsidRPr="78A2B29B">
        <w:rPr>
          <w:rFonts w:ascii="Calibri" w:hAnsi="Calibri" w:cs="Calibri"/>
          <w:lang w:val="el-GR"/>
        </w:rPr>
        <w:t>στο Τ</w:t>
      </w:r>
      <w:r w:rsidR="009D0508">
        <w:rPr>
          <w:rFonts w:ascii="Calibri" w:hAnsi="Calibri" w:cs="Calibri"/>
          <w:lang w:val="el-GR"/>
        </w:rPr>
        <w:t>ΑΙΠΕΔ</w:t>
      </w:r>
      <w:r w:rsidR="00936F57" w:rsidRPr="78A2B29B">
        <w:rPr>
          <w:rFonts w:ascii="Calibri" w:hAnsi="Calibri" w:cs="Calibri"/>
          <w:lang w:val="el-GR"/>
        </w:rPr>
        <w:t xml:space="preserve"> </w:t>
      </w:r>
      <w:r w:rsidR="00910E33" w:rsidRPr="78A2B29B">
        <w:rPr>
          <w:rFonts w:ascii="Calibri" w:hAnsi="Calibri" w:cs="Calibri"/>
          <w:lang w:val="el-GR"/>
        </w:rPr>
        <w:t xml:space="preserve">ποσοστού 35% του μετοχικού κεφαλαίου της ΔΕΠΑ </w:t>
      </w:r>
      <w:r w:rsidR="00AD1AAD" w:rsidRPr="78A2B29B">
        <w:rPr>
          <w:rFonts w:ascii="Calibri" w:hAnsi="Calibri" w:cs="Calibri"/>
          <w:lang w:val="el-GR"/>
        </w:rPr>
        <w:t>Εμπορίας</w:t>
      </w:r>
      <w:r w:rsidR="00910E33" w:rsidRPr="78A2B29B">
        <w:rPr>
          <w:rFonts w:ascii="Calibri" w:hAnsi="Calibri" w:cs="Calibri"/>
          <w:lang w:val="el-GR"/>
        </w:rPr>
        <w:t xml:space="preserve"> Α</w:t>
      </w:r>
      <w:r w:rsidR="00F610D2" w:rsidRPr="00F610D2">
        <w:rPr>
          <w:rFonts w:ascii="Calibri" w:hAnsi="Calibri" w:cs="Calibri"/>
          <w:lang w:val="el-GR"/>
        </w:rPr>
        <w:t>.</w:t>
      </w:r>
      <w:r w:rsidR="00910E33" w:rsidRPr="78A2B29B">
        <w:rPr>
          <w:rFonts w:ascii="Calibri" w:hAnsi="Calibri" w:cs="Calibri"/>
          <w:lang w:val="el-GR"/>
        </w:rPr>
        <w:t>Ε</w:t>
      </w:r>
      <w:r w:rsidR="00F610D2" w:rsidRPr="00F610D2">
        <w:rPr>
          <w:rFonts w:ascii="Calibri" w:hAnsi="Calibri" w:cs="Calibri"/>
          <w:lang w:val="el-GR"/>
        </w:rPr>
        <w:t>.</w:t>
      </w:r>
      <w:r w:rsidR="00910E33" w:rsidRPr="78A2B29B">
        <w:rPr>
          <w:rFonts w:ascii="Calibri" w:hAnsi="Calibri" w:cs="Calibri"/>
          <w:lang w:val="el-GR"/>
        </w:rPr>
        <w:t xml:space="preserve"> που κατέχει η </w:t>
      </w:r>
      <w:r w:rsidR="00910E33" w:rsidRPr="78A2B29B">
        <w:rPr>
          <w:rFonts w:ascii="Calibri" w:hAnsi="Calibri" w:cs="Calibri"/>
        </w:rPr>
        <w:t>HELLEN</w:t>
      </w:r>
      <w:r w:rsidR="00967C1D">
        <w:rPr>
          <w:rFonts w:ascii="Calibri" w:hAnsi="Calibri" w:cs="Calibri"/>
        </w:rPr>
        <w:t>i</w:t>
      </w:r>
      <w:r w:rsidR="00910E33" w:rsidRPr="78A2B29B">
        <w:rPr>
          <w:rFonts w:ascii="Calibri" w:hAnsi="Calibri" w:cs="Calibri"/>
        </w:rPr>
        <w:t>Q</w:t>
      </w:r>
      <w:r w:rsidR="00910E33" w:rsidRPr="78A2B29B">
        <w:rPr>
          <w:rFonts w:ascii="Calibri" w:hAnsi="Calibri" w:cs="Calibri"/>
          <w:lang w:val="el-GR"/>
        </w:rPr>
        <w:t xml:space="preserve"> </w:t>
      </w:r>
      <w:r w:rsidR="00910E33" w:rsidRPr="78A2B29B">
        <w:rPr>
          <w:rFonts w:ascii="Calibri" w:hAnsi="Calibri" w:cs="Calibri"/>
        </w:rPr>
        <w:t>E</w:t>
      </w:r>
      <w:r w:rsidR="00967C1D">
        <w:rPr>
          <w:rFonts w:ascii="Calibri" w:hAnsi="Calibri" w:cs="Calibri"/>
        </w:rPr>
        <w:t>NERGY</w:t>
      </w:r>
      <w:r w:rsidR="00501742" w:rsidRPr="78A2B29B">
        <w:rPr>
          <w:rFonts w:ascii="Calibri" w:hAnsi="Calibri" w:cs="Calibri"/>
          <w:lang w:val="el-GR"/>
        </w:rPr>
        <w:t xml:space="preserve"> </w:t>
      </w:r>
      <w:r w:rsidR="00501742" w:rsidRPr="78A2B29B">
        <w:rPr>
          <w:rFonts w:ascii="Calibri" w:hAnsi="Calibri" w:cs="Calibri"/>
        </w:rPr>
        <w:t>H</w:t>
      </w:r>
      <w:r w:rsidR="00F610D2">
        <w:rPr>
          <w:rFonts w:ascii="Calibri" w:hAnsi="Calibri" w:cs="Calibri"/>
        </w:rPr>
        <w:t>oldings</w:t>
      </w:r>
      <w:r w:rsidR="00AD1AAD" w:rsidRPr="78A2B29B">
        <w:rPr>
          <w:rFonts w:ascii="Calibri" w:hAnsi="Calibri" w:cs="Calibri"/>
          <w:lang w:val="el-GR"/>
        </w:rPr>
        <w:t xml:space="preserve">, </w:t>
      </w:r>
      <w:r w:rsidR="2453F068" w:rsidRPr="78A2B29B">
        <w:rPr>
          <w:rFonts w:ascii="Calibri" w:hAnsi="Calibri" w:cs="Calibri"/>
          <w:lang w:val="el-GR"/>
        </w:rPr>
        <w:t xml:space="preserve">σύμφωνα με το άρθρο 132 του ν. 5162/2024, </w:t>
      </w:r>
      <w:r w:rsidR="00AD1AAD" w:rsidRPr="78A2B29B">
        <w:rPr>
          <w:rFonts w:ascii="Calibri" w:hAnsi="Calibri" w:cs="Calibri"/>
          <w:lang w:val="el-GR"/>
        </w:rPr>
        <w:t xml:space="preserve">μετά </w:t>
      </w:r>
      <w:r w:rsidR="199774C4" w:rsidRPr="78A2B29B">
        <w:rPr>
          <w:rFonts w:ascii="Calibri" w:hAnsi="Calibri" w:cs="Calibri"/>
          <w:lang w:val="el-GR"/>
        </w:rPr>
        <w:t xml:space="preserve">και </w:t>
      </w:r>
      <w:r w:rsidR="00AD1AAD" w:rsidRPr="78A2B29B">
        <w:rPr>
          <w:rFonts w:ascii="Calibri" w:hAnsi="Calibri" w:cs="Calibri"/>
          <w:lang w:val="el-GR"/>
        </w:rPr>
        <w:t>την</w:t>
      </w:r>
      <w:r w:rsidR="674BC210" w:rsidRPr="78A2B29B">
        <w:rPr>
          <w:rFonts w:ascii="Calibri" w:hAnsi="Calibri" w:cs="Calibri"/>
          <w:lang w:val="el-GR"/>
        </w:rPr>
        <w:t xml:space="preserve"> </w:t>
      </w:r>
      <w:r w:rsidR="00AD1AAD" w:rsidRPr="78A2B29B">
        <w:rPr>
          <w:rFonts w:ascii="Calibri" w:hAnsi="Calibri" w:cs="Calibri"/>
          <w:lang w:val="el-GR"/>
        </w:rPr>
        <w:t xml:space="preserve">έγκριση της συναλλαγής από τα Διοικητικά Συμβούλια των δύο εταιρειών. </w:t>
      </w:r>
    </w:p>
    <w:p w14:paraId="71C0BFD6" w14:textId="696BA0A9" w:rsidR="00A04BA8" w:rsidRDefault="00292264" w:rsidP="00991906">
      <w:pPr>
        <w:jc w:val="both"/>
        <w:rPr>
          <w:rFonts w:ascii="Calibri" w:hAnsi="Calibri" w:cs="Calibri"/>
          <w:lang w:val="el-GR"/>
        </w:rPr>
      </w:pPr>
      <w:r w:rsidRPr="78A2B29B">
        <w:rPr>
          <w:rFonts w:ascii="Calibri" w:hAnsi="Calibri" w:cs="Calibri"/>
          <w:lang w:val="el-GR"/>
        </w:rPr>
        <w:t xml:space="preserve">Η </w:t>
      </w:r>
      <w:r w:rsidR="00E16477" w:rsidRPr="78A2B29B">
        <w:rPr>
          <w:rFonts w:ascii="Calibri" w:hAnsi="Calibri" w:cs="Calibri"/>
          <w:lang w:val="el-GR"/>
        </w:rPr>
        <w:t xml:space="preserve">συμφωνία </w:t>
      </w:r>
      <w:r w:rsidRPr="78A2B29B">
        <w:rPr>
          <w:rFonts w:ascii="Calibri" w:hAnsi="Calibri" w:cs="Calibri"/>
          <w:lang w:val="el-GR"/>
        </w:rPr>
        <w:t xml:space="preserve">αποβλέπει στην απόκτηση πλήρους </w:t>
      </w:r>
      <w:r w:rsidR="00AD1AAD" w:rsidRPr="78A2B29B">
        <w:rPr>
          <w:rFonts w:ascii="Calibri" w:hAnsi="Calibri" w:cs="Calibri"/>
          <w:lang w:val="el-GR"/>
        </w:rPr>
        <w:t>ελέγχου</w:t>
      </w:r>
      <w:r w:rsidRPr="78A2B29B">
        <w:rPr>
          <w:rFonts w:ascii="Calibri" w:hAnsi="Calibri" w:cs="Calibri"/>
          <w:lang w:val="el-GR"/>
        </w:rPr>
        <w:t xml:space="preserve"> και ευελιξίας κινήσεων για </w:t>
      </w:r>
      <w:r w:rsidR="00AD1AAD" w:rsidRPr="78A2B29B">
        <w:rPr>
          <w:rFonts w:ascii="Calibri" w:hAnsi="Calibri" w:cs="Calibri"/>
          <w:lang w:val="el-GR"/>
        </w:rPr>
        <w:t>τη ΔΕΠΑ Εμπορίας</w:t>
      </w:r>
      <w:r w:rsidR="00CA4AA2">
        <w:rPr>
          <w:rFonts w:ascii="Calibri" w:hAnsi="Calibri" w:cs="Calibri"/>
          <w:lang w:val="el-GR"/>
        </w:rPr>
        <w:t>,</w:t>
      </w:r>
      <w:r w:rsidRPr="78A2B29B">
        <w:rPr>
          <w:rFonts w:ascii="Calibri" w:hAnsi="Calibri" w:cs="Calibri"/>
          <w:lang w:val="el-GR"/>
        </w:rPr>
        <w:t xml:space="preserve"> παράλληλα </w:t>
      </w:r>
      <w:r w:rsidR="55567DD5" w:rsidRPr="78A2B29B">
        <w:rPr>
          <w:rFonts w:ascii="Calibri" w:hAnsi="Calibri" w:cs="Calibri"/>
          <w:lang w:val="el-GR"/>
        </w:rPr>
        <w:t xml:space="preserve">με </w:t>
      </w:r>
      <w:r w:rsidRPr="78A2B29B">
        <w:rPr>
          <w:rFonts w:ascii="Calibri" w:hAnsi="Calibri" w:cs="Calibri"/>
          <w:lang w:val="el-GR"/>
        </w:rPr>
        <w:t xml:space="preserve">την απεμπλοκή της </w:t>
      </w:r>
      <w:r w:rsidRPr="78A2B29B">
        <w:rPr>
          <w:rFonts w:ascii="Calibri" w:hAnsi="Calibri" w:cs="Calibri"/>
        </w:rPr>
        <w:t>HELLEN</w:t>
      </w:r>
      <w:r w:rsidR="00AD1AAD" w:rsidRPr="78A2B29B">
        <w:rPr>
          <w:rFonts w:ascii="Calibri" w:hAnsi="Calibri" w:cs="Calibri"/>
        </w:rPr>
        <w:t>i</w:t>
      </w:r>
      <w:r w:rsidRPr="78A2B29B">
        <w:rPr>
          <w:rFonts w:ascii="Calibri" w:hAnsi="Calibri" w:cs="Calibri"/>
        </w:rPr>
        <w:t>Q</w:t>
      </w:r>
      <w:r w:rsidRPr="78A2B29B">
        <w:rPr>
          <w:rFonts w:ascii="Calibri" w:hAnsi="Calibri" w:cs="Calibri"/>
          <w:lang w:val="el-GR"/>
        </w:rPr>
        <w:t xml:space="preserve"> </w:t>
      </w:r>
      <w:r w:rsidRPr="78A2B29B">
        <w:rPr>
          <w:rFonts w:ascii="Calibri" w:hAnsi="Calibri" w:cs="Calibri"/>
        </w:rPr>
        <w:t>E</w:t>
      </w:r>
      <w:r w:rsidR="00967C1D">
        <w:rPr>
          <w:rFonts w:ascii="Calibri" w:hAnsi="Calibri" w:cs="Calibri"/>
        </w:rPr>
        <w:t>NERGY</w:t>
      </w:r>
      <w:r w:rsidRPr="78A2B29B">
        <w:rPr>
          <w:rFonts w:ascii="Calibri" w:hAnsi="Calibri" w:cs="Calibri"/>
          <w:lang w:val="el-GR"/>
        </w:rPr>
        <w:t xml:space="preserve"> </w:t>
      </w:r>
      <w:r w:rsidR="006278A9" w:rsidRPr="78A2B29B">
        <w:rPr>
          <w:rFonts w:ascii="Calibri" w:hAnsi="Calibri" w:cs="Calibri"/>
        </w:rPr>
        <w:t>H</w:t>
      </w:r>
      <w:r w:rsidR="00AD1AAD" w:rsidRPr="78A2B29B">
        <w:rPr>
          <w:rFonts w:ascii="Calibri" w:hAnsi="Calibri" w:cs="Calibri"/>
        </w:rPr>
        <w:t>oldings</w:t>
      </w:r>
      <w:r w:rsidR="006278A9" w:rsidRPr="78A2B29B">
        <w:rPr>
          <w:rFonts w:ascii="Calibri" w:hAnsi="Calibri" w:cs="Calibri"/>
          <w:lang w:val="el-GR"/>
        </w:rPr>
        <w:t xml:space="preserve"> </w:t>
      </w:r>
      <w:r w:rsidRPr="78A2B29B">
        <w:rPr>
          <w:rFonts w:ascii="Calibri" w:hAnsi="Calibri" w:cs="Calibri"/>
          <w:lang w:val="el-GR"/>
        </w:rPr>
        <w:t>από μια</w:t>
      </w:r>
      <w:r w:rsidR="00CA4AA2">
        <w:rPr>
          <w:rFonts w:ascii="Calibri" w:hAnsi="Calibri" w:cs="Calibri"/>
          <w:lang w:val="el-GR"/>
        </w:rPr>
        <w:t xml:space="preserve"> μη στρατηγική</w:t>
      </w:r>
      <w:r w:rsidRPr="78A2B29B">
        <w:rPr>
          <w:rFonts w:ascii="Calibri" w:hAnsi="Calibri" w:cs="Calibri"/>
          <w:lang w:val="el-GR"/>
        </w:rPr>
        <w:t xml:space="preserve"> συμμετοχή</w:t>
      </w:r>
      <w:r w:rsidR="00CA4AA2">
        <w:rPr>
          <w:rFonts w:ascii="Calibri" w:hAnsi="Calibri" w:cs="Calibri"/>
          <w:lang w:val="el-GR"/>
        </w:rPr>
        <w:t>,</w:t>
      </w:r>
      <w:r w:rsidRPr="78A2B29B">
        <w:rPr>
          <w:rFonts w:ascii="Calibri" w:hAnsi="Calibri" w:cs="Calibri"/>
          <w:lang w:val="el-GR"/>
        </w:rPr>
        <w:t xml:space="preserve"> η οποία </w:t>
      </w:r>
      <w:r w:rsidR="00496316" w:rsidRPr="78A2B29B">
        <w:rPr>
          <w:rFonts w:ascii="Calibri" w:hAnsi="Calibri" w:cs="Calibri"/>
          <w:lang w:val="el-GR"/>
        </w:rPr>
        <w:t xml:space="preserve">είναι ευθέως ανταγωνιστική </w:t>
      </w:r>
      <w:r w:rsidRPr="78A2B29B">
        <w:rPr>
          <w:rFonts w:ascii="Calibri" w:hAnsi="Calibri" w:cs="Calibri"/>
          <w:lang w:val="el-GR"/>
        </w:rPr>
        <w:t>με άλλες δραστηριότητες</w:t>
      </w:r>
      <w:r w:rsidR="006278A9" w:rsidRPr="78A2B29B">
        <w:rPr>
          <w:rFonts w:ascii="Calibri" w:hAnsi="Calibri" w:cs="Calibri"/>
          <w:lang w:val="el-GR"/>
        </w:rPr>
        <w:t xml:space="preserve"> του ομίλου</w:t>
      </w:r>
      <w:r w:rsidRPr="78A2B29B">
        <w:rPr>
          <w:rFonts w:ascii="Calibri" w:hAnsi="Calibri" w:cs="Calibri"/>
          <w:lang w:val="el-GR"/>
        </w:rPr>
        <w:t>.</w:t>
      </w:r>
      <w:r w:rsidR="00991906" w:rsidRPr="78A2B29B">
        <w:rPr>
          <w:rFonts w:ascii="Calibri" w:hAnsi="Calibri" w:cs="Calibri"/>
          <w:lang w:val="el-GR"/>
        </w:rPr>
        <w:t xml:space="preserve"> </w:t>
      </w:r>
    </w:p>
    <w:p w14:paraId="2F23DBDE" w14:textId="657FC54B" w:rsidR="00857C61" w:rsidRDefault="00C649BD" w:rsidP="00991906">
      <w:pPr>
        <w:jc w:val="both"/>
        <w:rPr>
          <w:rFonts w:ascii="Calibri" w:hAnsi="Calibri" w:cs="Calibri"/>
          <w:lang w:val="el-GR"/>
        </w:rPr>
      </w:pPr>
      <w:r w:rsidRPr="00AD1AAD">
        <w:rPr>
          <w:rFonts w:ascii="Calibri" w:hAnsi="Calibri" w:cs="Calibri"/>
          <w:lang w:val="el-GR"/>
        </w:rPr>
        <w:t xml:space="preserve">Η </w:t>
      </w:r>
      <w:r w:rsidR="00E16477" w:rsidRPr="00AD1AAD">
        <w:rPr>
          <w:rFonts w:ascii="Calibri" w:hAnsi="Calibri" w:cs="Calibri"/>
          <w:lang w:val="el-GR"/>
        </w:rPr>
        <w:t xml:space="preserve">συναλλαγή </w:t>
      </w:r>
      <w:r w:rsidRPr="00AD1AAD">
        <w:rPr>
          <w:rFonts w:ascii="Calibri" w:hAnsi="Calibri" w:cs="Calibri"/>
          <w:lang w:val="el-GR"/>
        </w:rPr>
        <w:t xml:space="preserve">θα επιτρέψει την απρόσκοπτη υλοποίηση </w:t>
      </w:r>
      <w:r w:rsidR="00857C61" w:rsidRPr="00AD1AAD">
        <w:rPr>
          <w:rFonts w:ascii="Calibri" w:hAnsi="Calibri" w:cs="Calibri"/>
          <w:lang w:val="el-GR"/>
        </w:rPr>
        <w:t xml:space="preserve">του στρατηγικού μετασχηματισμού της </w:t>
      </w:r>
      <w:r w:rsidR="006278A9" w:rsidRPr="00AD1AAD">
        <w:rPr>
          <w:rFonts w:ascii="Calibri" w:hAnsi="Calibri" w:cs="Calibri"/>
          <w:lang w:val="el-GR"/>
        </w:rPr>
        <w:t>ΔΕΠΑ Ε</w:t>
      </w:r>
      <w:r w:rsidR="00AD1AAD">
        <w:rPr>
          <w:rFonts w:ascii="Calibri" w:hAnsi="Calibri" w:cs="Calibri"/>
          <w:lang w:val="el-GR"/>
        </w:rPr>
        <w:t>μπορίας</w:t>
      </w:r>
      <w:r w:rsidR="006278A9" w:rsidRPr="00AD1AAD">
        <w:rPr>
          <w:rFonts w:ascii="Calibri" w:hAnsi="Calibri" w:cs="Calibri"/>
          <w:lang w:val="el-GR"/>
        </w:rPr>
        <w:t xml:space="preserve"> </w:t>
      </w:r>
      <w:r w:rsidR="00857C61" w:rsidRPr="00AD1AAD">
        <w:rPr>
          <w:rFonts w:ascii="Calibri" w:hAnsi="Calibri" w:cs="Calibri"/>
          <w:lang w:val="el-GR"/>
        </w:rPr>
        <w:t>σε έναν καθετοποιημένο ενεργειακό όμιλο</w:t>
      </w:r>
      <w:r w:rsidR="003F1E25">
        <w:rPr>
          <w:rFonts w:ascii="Calibri" w:hAnsi="Calibri" w:cs="Calibri"/>
          <w:lang w:val="el-GR"/>
        </w:rPr>
        <w:t xml:space="preserve">, </w:t>
      </w:r>
      <w:r w:rsidR="00857C61" w:rsidRPr="00AD1AAD">
        <w:rPr>
          <w:rFonts w:ascii="Calibri" w:hAnsi="Calibri" w:cs="Calibri"/>
          <w:lang w:val="el-GR"/>
        </w:rPr>
        <w:t xml:space="preserve">προσδίδοντας μεσοπρόθεσμα υψηλότερη αξία στη συμμετοχή του Ελληνικού Δημοσίου και διευκολύνοντας τη μελλοντική </w:t>
      </w:r>
      <w:r w:rsidR="00AD1AAD">
        <w:rPr>
          <w:rFonts w:ascii="Calibri" w:hAnsi="Calibri" w:cs="Calibri"/>
          <w:lang w:val="el-GR"/>
        </w:rPr>
        <w:t xml:space="preserve">του </w:t>
      </w:r>
      <w:r w:rsidR="00857C61" w:rsidRPr="00AD1AAD">
        <w:rPr>
          <w:rFonts w:ascii="Calibri" w:hAnsi="Calibri" w:cs="Calibri"/>
          <w:lang w:val="el-GR"/>
        </w:rPr>
        <w:t>αξιοποίηση</w:t>
      </w:r>
      <w:r w:rsidR="003F1E25">
        <w:rPr>
          <w:rFonts w:ascii="Calibri" w:hAnsi="Calibri" w:cs="Calibri"/>
          <w:lang w:val="el-GR"/>
        </w:rPr>
        <w:t xml:space="preserve">. </w:t>
      </w:r>
    </w:p>
    <w:p w14:paraId="5AD017E2" w14:textId="7C8E2794" w:rsidR="00A04BA8" w:rsidRPr="00A04BA8" w:rsidRDefault="00CA4AA2" w:rsidP="002B1A29">
      <w:pPr>
        <w:jc w:val="both"/>
        <w:rPr>
          <w:rFonts w:ascii="Calibri" w:hAnsi="Calibri" w:cs="Calibri"/>
          <w:lang w:val="el-GR"/>
        </w:rPr>
      </w:pPr>
      <w:r>
        <w:rPr>
          <w:rFonts w:ascii="Calibri" w:hAnsi="Calibri" w:cs="Calibri"/>
          <w:lang w:val="el-GR"/>
        </w:rPr>
        <w:t>Με αυτή τη συναλλαγή</w:t>
      </w:r>
      <w:r w:rsidR="00A04BA8">
        <w:rPr>
          <w:rFonts w:ascii="Calibri" w:hAnsi="Calibri" w:cs="Calibri"/>
          <w:lang w:val="el-GR"/>
        </w:rPr>
        <w:t xml:space="preserve"> η </w:t>
      </w:r>
      <w:r w:rsidR="00A04BA8" w:rsidRPr="00A04BA8">
        <w:rPr>
          <w:rFonts w:ascii="Calibri" w:hAnsi="Calibri" w:cs="Calibri"/>
          <w:lang w:val="el-GR"/>
        </w:rPr>
        <w:t xml:space="preserve">HELLENiQ ENERGY </w:t>
      </w:r>
      <w:r>
        <w:rPr>
          <w:rFonts w:ascii="Calibri" w:hAnsi="Calibri" w:cs="Calibri"/>
          <w:lang w:val="el-GR"/>
        </w:rPr>
        <w:t>δια</w:t>
      </w:r>
      <w:r w:rsidRPr="00A04BA8">
        <w:rPr>
          <w:rFonts w:ascii="Calibri" w:hAnsi="Calibri" w:cs="Calibri"/>
          <w:lang w:val="el-GR"/>
        </w:rPr>
        <w:t>σαφηνίζει</w:t>
      </w:r>
      <w:r w:rsidR="00A04BA8" w:rsidRPr="00A04BA8">
        <w:rPr>
          <w:rFonts w:ascii="Calibri" w:hAnsi="Calibri" w:cs="Calibri"/>
          <w:lang w:val="el-GR"/>
        </w:rPr>
        <w:t xml:space="preserve"> το χαρτοφυλάκιό </w:t>
      </w:r>
      <w:r>
        <w:rPr>
          <w:rFonts w:ascii="Calibri" w:hAnsi="Calibri" w:cs="Calibri"/>
          <w:lang w:val="el-GR"/>
        </w:rPr>
        <w:t>της, αποχωρώντας</w:t>
      </w:r>
      <w:r w:rsidR="00A04BA8" w:rsidRPr="00A04BA8">
        <w:rPr>
          <w:rFonts w:ascii="Calibri" w:hAnsi="Calibri" w:cs="Calibri"/>
          <w:lang w:val="el-GR"/>
        </w:rPr>
        <w:t xml:space="preserve"> από μη πλειοψηφικές, ή </w:t>
      </w:r>
      <w:r w:rsidR="00A04BA8">
        <w:rPr>
          <w:rFonts w:ascii="Calibri" w:hAnsi="Calibri" w:cs="Calibri"/>
          <w:lang w:val="el-GR"/>
        </w:rPr>
        <w:t xml:space="preserve">και </w:t>
      </w:r>
      <w:r w:rsidR="00A04BA8" w:rsidRPr="00A04BA8">
        <w:rPr>
          <w:rFonts w:ascii="Calibri" w:hAnsi="Calibri" w:cs="Calibri"/>
          <w:lang w:val="el-GR"/>
        </w:rPr>
        <w:t>ανταγωνιστικές μεταξύ τους συμμετοχές</w:t>
      </w:r>
      <w:r w:rsidR="00A04BA8">
        <w:rPr>
          <w:rFonts w:ascii="Calibri" w:hAnsi="Calibri" w:cs="Calibri"/>
          <w:lang w:val="el-GR"/>
        </w:rPr>
        <w:t>. Κ</w:t>
      </w:r>
      <w:r w:rsidR="00A04BA8" w:rsidRPr="00A04BA8">
        <w:rPr>
          <w:rFonts w:ascii="Calibri" w:hAnsi="Calibri" w:cs="Calibri"/>
          <w:lang w:val="el-GR"/>
        </w:rPr>
        <w:t xml:space="preserve">αθετοποιεί πλήρως τις δραστηριότητές </w:t>
      </w:r>
      <w:r w:rsidR="00A04BA8">
        <w:rPr>
          <w:rFonts w:ascii="Calibri" w:hAnsi="Calibri" w:cs="Calibri"/>
          <w:lang w:val="el-GR"/>
        </w:rPr>
        <w:t xml:space="preserve">της και μετατρέπεται σε έναν </w:t>
      </w:r>
      <w:r w:rsidR="00A04BA8" w:rsidRPr="00A04BA8">
        <w:rPr>
          <w:rFonts w:ascii="Calibri" w:hAnsi="Calibri" w:cs="Calibri"/>
          <w:lang w:val="el-GR"/>
        </w:rPr>
        <w:t>ολοκληρωμένο</w:t>
      </w:r>
      <w:r w:rsidR="00A04BA8">
        <w:rPr>
          <w:rFonts w:ascii="Calibri" w:hAnsi="Calibri" w:cs="Calibri"/>
          <w:lang w:val="el-GR"/>
        </w:rPr>
        <w:t xml:space="preserve"> πάροχο ενεργειακών προϊόντων</w:t>
      </w:r>
      <w:r w:rsidR="00096461">
        <w:rPr>
          <w:rFonts w:ascii="Calibri" w:hAnsi="Calibri" w:cs="Calibri"/>
          <w:lang w:val="el-GR"/>
        </w:rPr>
        <w:t>,</w:t>
      </w:r>
      <w:r>
        <w:rPr>
          <w:rFonts w:ascii="Calibri" w:hAnsi="Calibri" w:cs="Calibri"/>
          <w:lang w:val="el-GR"/>
        </w:rPr>
        <w:t xml:space="preserve"> με δυνατότητα </w:t>
      </w:r>
      <w:r w:rsidRPr="00096461">
        <w:rPr>
          <w:rFonts w:ascii="Calibri" w:hAnsi="Calibri" w:cs="Calibri"/>
          <w:lang w:val="el-GR"/>
        </w:rPr>
        <w:t>αυτόνομ</w:t>
      </w:r>
      <w:r>
        <w:rPr>
          <w:rFonts w:ascii="Calibri" w:hAnsi="Calibri" w:cs="Calibri"/>
          <w:lang w:val="el-GR"/>
        </w:rPr>
        <w:t>ης</w:t>
      </w:r>
      <w:r w:rsidRPr="00096461">
        <w:rPr>
          <w:rFonts w:ascii="Calibri" w:hAnsi="Calibri" w:cs="Calibri"/>
          <w:lang w:val="el-GR"/>
        </w:rPr>
        <w:t xml:space="preserve"> </w:t>
      </w:r>
      <w:r>
        <w:rPr>
          <w:rFonts w:ascii="Calibri" w:hAnsi="Calibri" w:cs="Calibri"/>
          <w:lang w:val="el-GR"/>
        </w:rPr>
        <w:t>χάραξης</w:t>
      </w:r>
      <w:r w:rsidR="00096461">
        <w:rPr>
          <w:rFonts w:ascii="Calibri" w:hAnsi="Calibri" w:cs="Calibri"/>
          <w:lang w:val="el-GR"/>
        </w:rPr>
        <w:t xml:space="preserve"> </w:t>
      </w:r>
      <w:r w:rsidR="00096461" w:rsidRPr="00096461">
        <w:rPr>
          <w:rFonts w:ascii="Calibri" w:hAnsi="Calibri" w:cs="Calibri"/>
          <w:lang w:val="el-GR"/>
        </w:rPr>
        <w:t>τη</w:t>
      </w:r>
      <w:r>
        <w:rPr>
          <w:rFonts w:ascii="Calibri" w:hAnsi="Calibri" w:cs="Calibri"/>
          <w:lang w:val="el-GR"/>
        </w:rPr>
        <w:t>ς</w:t>
      </w:r>
      <w:r w:rsidR="00096461" w:rsidRPr="00096461">
        <w:rPr>
          <w:rFonts w:ascii="Calibri" w:hAnsi="Calibri" w:cs="Calibri"/>
          <w:lang w:val="el-GR"/>
        </w:rPr>
        <w:t xml:space="preserve"> στρατηγική </w:t>
      </w:r>
      <w:r w:rsidR="009D0508">
        <w:rPr>
          <w:rFonts w:ascii="Calibri" w:hAnsi="Calibri" w:cs="Calibri"/>
          <w:lang w:val="el-GR"/>
        </w:rPr>
        <w:t>της,</w:t>
      </w:r>
      <w:r w:rsidR="00096461">
        <w:rPr>
          <w:rFonts w:ascii="Calibri" w:hAnsi="Calibri" w:cs="Calibri"/>
          <w:lang w:val="el-GR"/>
        </w:rPr>
        <w:t xml:space="preserve"> </w:t>
      </w:r>
      <w:r w:rsidR="00A04BA8">
        <w:rPr>
          <w:rFonts w:ascii="Calibri" w:hAnsi="Calibri" w:cs="Calibri"/>
          <w:lang w:val="el-GR"/>
        </w:rPr>
        <w:t xml:space="preserve">έχοντας </w:t>
      </w:r>
      <w:r w:rsidR="00A04BA8" w:rsidRPr="00A04BA8">
        <w:rPr>
          <w:rFonts w:ascii="Calibri" w:hAnsi="Calibri" w:cs="Calibri"/>
          <w:lang w:val="el-GR"/>
        </w:rPr>
        <w:t>τον απόλυτο</w:t>
      </w:r>
      <w:r>
        <w:rPr>
          <w:rFonts w:ascii="Calibri" w:hAnsi="Calibri" w:cs="Calibri"/>
          <w:lang w:val="el-GR"/>
        </w:rPr>
        <w:t>/πλήρη</w:t>
      </w:r>
      <w:r w:rsidR="00A04BA8" w:rsidRPr="00A04BA8">
        <w:rPr>
          <w:rFonts w:ascii="Calibri" w:hAnsi="Calibri" w:cs="Calibri"/>
          <w:lang w:val="el-GR"/>
        </w:rPr>
        <w:t xml:space="preserve"> έλεγχο όλων των θυγατρικών </w:t>
      </w:r>
      <w:r w:rsidR="00096461">
        <w:rPr>
          <w:rFonts w:ascii="Calibri" w:hAnsi="Calibri" w:cs="Calibri"/>
          <w:lang w:val="el-GR"/>
        </w:rPr>
        <w:t>της.</w:t>
      </w:r>
    </w:p>
    <w:p w14:paraId="27A9DDED" w14:textId="749144A9" w:rsidR="00C649BD" w:rsidRPr="00011EE4" w:rsidDel="00914CF9" w:rsidRDefault="00C649BD" w:rsidP="00C649BD">
      <w:pPr>
        <w:jc w:val="both"/>
        <w:rPr>
          <w:rFonts w:ascii="Calibri" w:hAnsi="Calibri" w:cs="Calibri"/>
          <w:lang w:val="el-GR"/>
        </w:rPr>
      </w:pPr>
      <w:r w:rsidRPr="78A2B29B">
        <w:rPr>
          <w:rFonts w:ascii="Calibri" w:hAnsi="Calibri" w:cs="Calibri"/>
          <w:lang w:val="el-GR"/>
        </w:rPr>
        <w:t xml:space="preserve">Το τίμημα της συναλλαγής ορίζεται αρχικά </w:t>
      </w:r>
      <w:r w:rsidR="00A507AF">
        <w:rPr>
          <w:rFonts w:ascii="Calibri" w:hAnsi="Calibri" w:cs="Calibri"/>
          <w:lang w:val="el-GR"/>
        </w:rPr>
        <w:t>στα 208 εκατ.</w:t>
      </w:r>
      <w:r w:rsidR="00C574E0">
        <w:rPr>
          <w:rFonts w:ascii="Calibri" w:hAnsi="Calibri" w:cs="Calibri"/>
          <w:lang w:val="el-GR"/>
        </w:rPr>
        <w:t xml:space="preserve"> ευρώ</w:t>
      </w:r>
      <w:r w:rsidR="00A507AF">
        <w:rPr>
          <w:rFonts w:ascii="Calibri" w:hAnsi="Calibri" w:cs="Calibri"/>
          <w:lang w:val="el-GR"/>
        </w:rPr>
        <w:t xml:space="preserve"> </w:t>
      </w:r>
      <w:r w:rsidRPr="78A2B29B">
        <w:rPr>
          <w:rFonts w:ascii="Calibri" w:hAnsi="Calibri" w:cs="Calibri"/>
          <w:lang w:val="el-GR"/>
        </w:rPr>
        <w:t>με βάση τη λογιστική αξία της Ενοποιημένης Καθαρής Θέσης 31.12.2023 του ομίλου ΔΕΠΑ Ε</w:t>
      </w:r>
      <w:r w:rsidR="00AD1AAD" w:rsidRPr="78A2B29B">
        <w:rPr>
          <w:rFonts w:ascii="Calibri" w:hAnsi="Calibri" w:cs="Calibri"/>
          <w:lang w:val="el-GR"/>
        </w:rPr>
        <w:t>μπορίας</w:t>
      </w:r>
      <w:r w:rsidR="009D0508">
        <w:rPr>
          <w:rFonts w:ascii="Calibri" w:hAnsi="Calibri" w:cs="Calibri"/>
          <w:lang w:val="el-GR"/>
        </w:rPr>
        <w:t>,</w:t>
      </w:r>
      <w:r w:rsidR="002E2783" w:rsidRPr="00F610D2">
        <w:rPr>
          <w:rFonts w:ascii="Calibri" w:hAnsi="Calibri" w:cs="Calibri"/>
          <w:lang w:val="el-GR"/>
        </w:rPr>
        <w:t xml:space="preserve"> </w:t>
      </w:r>
      <w:r w:rsidR="004166FA">
        <w:rPr>
          <w:rFonts w:ascii="Calibri" w:hAnsi="Calibri" w:cs="Calibri"/>
          <w:lang w:val="el-GR"/>
        </w:rPr>
        <w:t xml:space="preserve">ενώ </w:t>
      </w:r>
      <w:r w:rsidRPr="78A2B29B">
        <w:rPr>
          <w:rFonts w:ascii="Calibri" w:hAnsi="Calibri" w:cs="Calibri"/>
          <w:lang w:val="el-GR"/>
        </w:rPr>
        <w:t xml:space="preserve">προβλέπεται </w:t>
      </w:r>
      <w:r w:rsidR="006738E4" w:rsidRPr="78A2B29B">
        <w:rPr>
          <w:rFonts w:ascii="Calibri" w:hAnsi="Calibri" w:cs="Calibri"/>
          <w:lang w:val="el-GR"/>
        </w:rPr>
        <w:t xml:space="preserve">μηχανισμός </w:t>
      </w:r>
      <w:r w:rsidRPr="78A2B29B">
        <w:rPr>
          <w:rFonts w:ascii="Calibri" w:hAnsi="Calibri" w:cs="Calibri"/>
          <w:lang w:val="el-GR"/>
        </w:rPr>
        <w:t>αναπροσαρμογή</w:t>
      </w:r>
      <w:r w:rsidR="006738E4" w:rsidRPr="78A2B29B">
        <w:rPr>
          <w:rFonts w:ascii="Calibri" w:hAnsi="Calibri" w:cs="Calibri"/>
          <w:lang w:val="el-GR"/>
        </w:rPr>
        <w:t>ς</w:t>
      </w:r>
      <w:r w:rsidRPr="78A2B29B">
        <w:rPr>
          <w:rFonts w:ascii="Calibri" w:hAnsi="Calibri" w:cs="Calibri"/>
          <w:lang w:val="el-GR"/>
        </w:rPr>
        <w:t xml:space="preserve"> του εντός περιόδου </w:t>
      </w:r>
      <w:r w:rsidR="039F6279" w:rsidRPr="78A2B29B">
        <w:rPr>
          <w:rFonts w:ascii="Calibri" w:hAnsi="Calibri" w:cs="Calibri"/>
          <w:lang w:val="el-GR"/>
        </w:rPr>
        <w:t xml:space="preserve">έως </w:t>
      </w:r>
      <w:r w:rsidR="00DC3D32">
        <w:rPr>
          <w:rFonts w:ascii="Calibri" w:hAnsi="Calibri" w:cs="Calibri"/>
          <w:lang w:val="el-GR"/>
        </w:rPr>
        <w:t>36</w:t>
      </w:r>
      <w:r w:rsidR="00CA4AA2" w:rsidRPr="78A2B29B">
        <w:rPr>
          <w:rFonts w:ascii="Calibri" w:hAnsi="Calibri" w:cs="Calibri"/>
          <w:lang w:val="el-GR"/>
        </w:rPr>
        <w:t xml:space="preserve"> </w:t>
      </w:r>
      <w:r w:rsidRPr="78A2B29B">
        <w:rPr>
          <w:rFonts w:ascii="Calibri" w:hAnsi="Calibri" w:cs="Calibri"/>
          <w:lang w:val="el-GR"/>
        </w:rPr>
        <w:t>μηνών από την ολοκλήρωση της συναλλαγής</w:t>
      </w:r>
      <w:r w:rsidR="00314D16">
        <w:rPr>
          <w:rFonts w:ascii="Calibri" w:hAnsi="Calibri" w:cs="Calibri"/>
          <w:lang w:val="el-GR"/>
        </w:rPr>
        <w:t xml:space="preserve"> </w:t>
      </w:r>
      <w:r w:rsidR="00314D16" w:rsidRPr="78A2B29B">
        <w:rPr>
          <w:rFonts w:ascii="Calibri" w:hAnsi="Calibri" w:cs="Calibri"/>
          <w:lang w:val="el-GR"/>
        </w:rPr>
        <w:t>(με τη δυνατότητα να παραταθεί περαιτέρω)</w:t>
      </w:r>
      <w:r w:rsidRPr="78A2B29B">
        <w:rPr>
          <w:rFonts w:ascii="Calibri" w:hAnsi="Calibri" w:cs="Calibri"/>
          <w:lang w:val="el-GR"/>
        </w:rPr>
        <w:t xml:space="preserve">, προκειμένου να </w:t>
      </w:r>
      <w:r w:rsidR="00454F7B">
        <w:rPr>
          <w:rFonts w:ascii="Calibri" w:hAnsi="Calibri" w:cs="Calibri"/>
          <w:lang w:val="el-GR"/>
        </w:rPr>
        <w:t xml:space="preserve">ληφθούν </w:t>
      </w:r>
      <w:r w:rsidRPr="78A2B29B">
        <w:rPr>
          <w:rFonts w:ascii="Calibri" w:hAnsi="Calibri" w:cs="Calibri"/>
          <w:lang w:val="el-GR"/>
        </w:rPr>
        <w:t xml:space="preserve">υπόψη </w:t>
      </w:r>
      <w:r w:rsidR="00454F7B">
        <w:rPr>
          <w:rFonts w:ascii="Calibri" w:hAnsi="Calibri" w:cs="Calibri"/>
          <w:lang w:val="el-GR"/>
        </w:rPr>
        <w:t xml:space="preserve">τα </w:t>
      </w:r>
      <w:r w:rsidR="00966653">
        <w:rPr>
          <w:rFonts w:ascii="Calibri" w:hAnsi="Calibri" w:cs="Calibri"/>
          <w:lang w:val="el-GR"/>
        </w:rPr>
        <w:t xml:space="preserve">ενοποιημένα </w:t>
      </w:r>
      <w:r w:rsidR="00454F7B">
        <w:rPr>
          <w:rFonts w:ascii="Calibri" w:hAnsi="Calibri" w:cs="Calibri"/>
          <w:lang w:val="el-GR"/>
        </w:rPr>
        <w:t xml:space="preserve">αποτελέσματα χρήσης 2024 </w:t>
      </w:r>
      <w:r w:rsidR="002C07FD">
        <w:rPr>
          <w:rFonts w:ascii="Calibri" w:hAnsi="Calibri" w:cs="Calibri"/>
          <w:lang w:val="el-GR"/>
        </w:rPr>
        <w:t xml:space="preserve">του ομίλου </w:t>
      </w:r>
      <w:r w:rsidR="004428E4">
        <w:rPr>
          <w:rFonts w:ascii="Calibri" w:hAnsi="Calibri" w:cs="Calibri"/>
          <w:lang w:val="el-GR"/>
        </w:rPr>
        <w:t>ΔΕΠΑ Εμπορίας</w:t>
      </w:r>
      <w:r w:rsidR="002C07FD">
        <w:rPr>
          <w:rFonts w:ascii="Calibri" w:hAnsi="Calibri" w:cs="Calibri"/>
          <w:lang w:val="el-GR"/>
        </w:rPr>
        <w:t>,</w:t>
      </w:r>
      <w:r w:rsidR="004428E4">
        <w:rPr>
          <w:rFonts w:ascii="Calibri" w:hAnsi="Calibri" w:cs="Calibri"/>
          <w:lang w:val="el-GR"/>
        </w:rPr>
        <w:t xml:space="preserve"> καθώς και </w:t>
      </w:r>
      <w:r w:rsidRPr="78A2B29B">
        <w:rPr>
          <w:rFonts w:ascii="Calibri" w:hAnsi="Calibri" w:cs="Calibri"/>
          <w:lang w:val="el-GR"/>
        </w:rPr>
        <w:t xml:space="preserve">τυχόν επίδραση </w:t>
      </w:r>
      <w:r w:rsidR="00ED0527" w:rsidRPr="78A2B29B">
        <w:rPr>
          <w:rFonts w:ascii="Calibri" w:hAnsi="Calibri" w:cs="Calibri"/>
          <w:lang w:val="el-GR"/>
        </w:rPr>
        <w:t xml:space="preserve">υφιστάμενων </w:t>
      </w:r>
      <w:r w:rsidR="12E65FBC" w:rsidRPr="78A2B29B">
        <w:rPr>
          <w:rFonts w:ascii="Calibri" w:hAnsi="Calibri" w:cs="Calibri"/>
          <w:lang w:val="el-GR"/>
        </w:rPr>
        <w:t>νομικών εκκρεμοτήτων</w:t>
      </w:r>
      <w:r w:rsidRPr="78A2B29B">
        <w:rPr>
          <w:rFonts w:ascii="Calibri" w:hAnsi="Calibri" w:cs="Calibri"/>
          <w:lang w:val="el-GR"/>
        </w:rPr>
        <w:t xml:space="preserve"> επί των οικονομικών στοιχείων</w:t>
      </w:r>
      <w:r w:rsidR="00F81207">
        <w:rPr>
          <w:rFonts w:ascii="Calibri" w:hAnsi="Calibri" w:cs="Calibri"/>
          <w:lang w:val="el-GR"/>
        </w:rPr>
        <w:t xml:space="preserve"> της εταιρείας</w:t>
      </w:r>
      <w:r w:rsidRPr="78A2B29B">
        <w:rPr>
          <w:rFonts w:ascii="Calibri" w:hAnsi="Calibri" w:cs="Calibri"/>
          <w:lang w:val="el-GR"/>
        </w:rPr>
        <w:t>.  </w:t>
      </w:r>
    </w:p>
    <w:p w14:paraId="5BB6B335" w14:textId="447332D4" w:rsidR="003F1E25" w:rsidRPr="00AD1AAD" w:rsidDel="00914CF9" w:rsidRDefault="003F1E25" w:rsidP="78A2B29B">
      <w:pPr>
        <w:jc w:val="both"/>
        <w:rPr>
          <w:rFonts w:ascii="Calibri" w:hAnsi="Calibri" w:cs="Calibri"/>
          <w:lang w:val="el-GR"/>
        </w:rPr>
      </w:pPr>
      <w:r w:rsidRPr="78A2B29B">
        <w:rPr>
          <w:rFonts w:ascii="Calibri" w:hAnsi="Calibri" w:cs="Calibri"/>
          <w:lang w:val="el-GR"/>
        </w:rPr>
        <w:t>Το τίμημα πιστώνεται και αποπληρώνεται τμηματικά με συμψηφισμό μερισμάτων που θα έχει λαμβάνειν το ΤΑΙΠΕΔ (ή η ΕΕΣΥΠ κατόπιν της προβλεπόμενης στο Ν.5131/2024 συγχώνευσης) από τη</w:t>
      </w:r>
      <w:r w:rsidR="003926C7">
        <w:rPr>
          <w:rFonts w:ascii="Calibri" w:hAnsi="Calibri" w:cs="Calibri"/>
          <w:lang w:val="el-GR"/>
        </w:rPr>
        <w:t>ν</w:t>
      </w:r>
      <w:r w:rsidRPr="78A2B29B">
        <w:rPr>
          <w:rFonts w:ascii="Calibri" w:hAnsi="Calibri" w:cs="Calibri"/>
          <w:lang w:val="el-GR"/>
        </w:rPr>
        <w:t xml:space="preserve"> HELLEN</w:t>
      </w:r>
      <w:r w:rsidRPr="78A2B29B">
        <w:rPr>
          <w:rFonts w:ascii="Calibri" w:hAnsi="Calibri" w:cs="Calibri"/>
        </w:rPr>
        <w:t>i</w:t>
      </w:r>
      <w:r w:rsidRPr="78A2B29B">
        <w:rPr>
          <w:rFonts w:ascii="Calibri" w:hAnsi="Calibri" w:cs="Calibri"/>
          <w:lang w:val="el-GR"/>
        </w:rPr>
        <w:t xml:space="preserve">Q </w:t>
      </w:r>
      <w:r w:rsidR="00F610D2">
        <w:rPr>
          <w:rFonts w:ascii="Calibri" w:hAnsi="Calibri" w:cs="Calibri"/>
        </w:rPr>
        <w:t>E</w:t>
      </w:r>
      <w:r w:rsidR="00967C1D">
        <w:rPr>
          <w:rFonts w:ascii="Calibri" w:hAnsi="Calibri" w:cs="Calibri"/>
        </w:rPr>
        <w:t>NERGY</w:t>
      </w:r>
      <w:r w:rsidRPr="78A2B29B">
        <w:rPr>
          <w:rFonts w:ascii="Calibri" w:hAnsi="Calibri" w:cs="Calibri"/>
          <w:lang w:val="el-GR"/>
        </w:rPr>
        <w:t xml:space="preserve"> </w:t>
      </w:r>
      <w:r w:rsidR="05D40CA4" w:rsidRPr="78A2B29B">
        <w:rPr>
          <w:rFonts w:ascii="Calibri" w:hAnsi="Calibri" w:cs="Calibri"/>
        </w:rPr>
        <w:t>Holdings</w:t>
      </w:r>
      <w:r w:rsidR="05D40CA4" w:rsidRPr="78A2B29B">
        <w:rPr>
          <w:rFonts w:ascii="Calibri" w:hAnsi="Calibri" w:cs="Calibri"/>
          <w:lang w:val="el-GR"/>
        </w:rPr>
        <w:t xml:space="preserve"> </w:t>
      </w:r>
      <w:r w:rsidRPr="78A2B29B">
        <w:rPr>
          <w:rFonts w:ascii="Calibri" w:hAnsi="Calibri" w:cs="Calibri"/>
          <w:lang w:val="el-GR"/>
        </w:rPr>
        <w:t>και τη ΔΕΠΑ Εμπορίας, ως μέτοχος των εταιρειών αυτών</w:t>
      </w:r>
      <w:r w:rsidR="581B96A6" w:rsidRPr="78A2B29B">
        <w:rPr>
          <w:rFonts w:ascii="Calibri" w:hAnsi="Calibri" w:cs="Calibri"/>
          <w:lang w:val="el-GR"/>
        </w:rPr>
        <w:t>, ή με άλλα έσοδα σύμφωνα με την εφαρμοστέα νομοθεσία</w:t>
      </w:r>
      <w:r w:rsidRPr="78A2B29B">
        <w:rPr>
          <w:rFonts w:ascii="Calibri" w:hAnsi="Calibri" w:cs="Calibri"/>
          <w:lang w:val="el-GR"/>
        </w:rPr>
        <w:t>.</w:t>
      </w:r>
    </w:p>
    <w:p w14:paraId="509B4EEB" w14:textId="71393AAF" w:rsidR="00C649BD" w:rsidRPr="00496316" w:rsidRDefault="00E94962" w:rsidP="00656ED9">
      <w:pPr>
        <w:jc w:val="both"/>
        <w:rPr>
          <w:rFonts w:ascii="Calibri" w:hAnsi="Calibri" w:cs="Calibri"/>
          <w:color w:val="FF0000"/>
          <w:lang w:val="el-GR"/>
        </w:rPr>
      </w:pPr>
      <w:r w:rsidRPr="00AD1AAD">
        <w:rPr>
          <w:rFonts w:ascii="Calibri" w:hAnsi="Calibri" w:cs="Calibri"/>
          <w:lang w:val="el-GR"/>
        </w:rPr>
        <w:t>Σε περίπτωση</w:t>
      </w:r>
      <w:r w:rsidR="003926C7">
        <w:rPr>
          <w:rFonts w:ascii="Calibri" w:hAnsi="Calibri" w:cs="Calibri"/>
          <w:lang w:val="el-GR"/>
        </w:rPr>
        <w:t xml:space="preserve"> </w:t>
      </w:r>
      <w:r w:rsidR="001503A4" w:rsidRPr="00AD1AAD">
        <w:rPr>
          <w:rFonts w:ascii="Calibri" w:hAnsi="Calibri" w:cs="Calibri"/>
          <w:lang w:val="el-GR"/>
        </w:rPr>
        <w:t xml:space="preserve">μελλοντικής αξιοποίησης από το Ελληνικό Δημόσιο </w:t>
      </w:r>
      <w:r w:rsidRPr="00AD1AAD">
        <w:rPr>
          <w:rFonts w:ascii="Calibri" w:hAnsi="Calibri" w:cs="Calibri"/>
          <w:lang w:val="el-GR"/>
        </w:rPr>
        <w:t>της συμμετοχής του στη ΔΕΠΑ Ε</w:t>
      </w:r>
      <w:r w:rsidR="00AD1AAD">
        <w:rPr>
          <w:rFonts w:ascii="Calibri" w:hAnsi="Calibri" w:cs="Calibri"/>
          <w:lang w:val="el-GR"/>
        </w:rPr>
        <w:t>μπορίας</w:t>
      </w:r>
      <w:r w:rsidRPr="00AD1AAD">
        <w:rPr>
          <w:rFonts w:ascii="Calibri" w:hAnsi="Calibri" w:cs="Calibri"/>
          <w:lang w:val="el-GR"/>
        </w:rPr>
        <w:t xml:space="preserve"> εντός </w:t>
      </w:r>
      <w:r w:rsidR="004166FA">
        <w:rPr>
          <w:rFonts w:ascii="Calibri" w:hAnsi="Calibri" w:cs="Calibri"/>
          <w:lang w:val="el-GR"/>
        </w:rPr>
        <w:t xml:space="preserve">24 </w:t>
      </w:r>
      <w:r w:rsidRPr="00AD1AAD">
        <w:rPr>
          <w:rFonts w:ascii="Calibri" w:hAnsi="Calibri" w:cs="Calibri"/>
          <w:lang w:val="el-GR"/>
        </w:rPr>
        <w:t>μηνών</w:t>
      </w:r>
      <w:r w:rsidRPr="00AD1AAD">
        <w:rPr>
          <w:rFonts w:ascii="Calibri" w:hAnsi="Calibri" w:cs="Calibri"/>
          <w:b/>
          <w:bCs/>
          <w:lang w:val="el-GR"/>
        </w:rPr>
        <w:t xml:space="preserve"> </w:t>
      </w:r>
      <w:r w:rsidRPr="00AD1AAD">
        <w:rPr>
          <w:rFonts w:ascii="Calibri" w:hAnsi="Calibri" w:cs="Calibri"/>
          <w:lang w:val="el-GR"/>
        </w:rPr>
        <w:t xml:space="preserve">από την ολοκλήρωση της </w:t>
      </w:r>
      <w:r w:rsidR="001503A4" w:rsidRPr="00AD1AAD">
        <w:rPr>
          <w:rFonts w:ascii="Calibri" w:hAnsi="Calibri" w:cs="Calibri"/>
          <w:lang w:val="el-GR"/>
        </w:rPr>
        <w:t>παρούσας σ</w:t>
      </w:r>
      <w:r w:rsidRPr="00AD1AAD">
        <w:rPr>
          <w:rFonts w:ascii="Calibri" w:hAnsi="Calibri" w:cs="Calibri"/>
          <w:lang w:val="el-GR"/>
        </w:rPr>
        <w:t>υναλλαγής</w:t>
      </w:r>
      <w:r w:rsidR="00A03C8B">
        <w:rPr>
          <w:rFonts w:ascii="Calibri" w:hAnsi="Calibri" w:cs="Calibri"/>
          <w:lang w:val="el-GR"/>
        </w:rPr>
        <w:t xml:space="preserve"> (</w:t>
      </w:r>
      <w:r w:rsidR="004166FA">
        <w:rPr>
          <w:rFonts w:ascii="Calibri" w:hAnsi="Calibri" w:cs="Calibri"/>
          <w:lang w:val="el-GR"/>
        </w:rPr>
        <w:t>με δυνατότητα παράτασης κατά επιπλέον 12 μήνες</w:t>
      </w:r>
      <w:r w:rsidR="001503A4" w:rsidRPr="00AD1AAD">
        <w:rPr>
          <w:rFonts w:ascii="Calibri" w:hAnsi="Calibri" w:cs="Calibri"/>
          <w:lang w:val="el-GR"/>
        </w:rPr>
        <w:t>)</w:t>
      </w:r>
      <w:r w:rsidRPr="00AD1AAD">
        <w:rPr>
          <w:rFonts w:ascii="Calibri" w:hAnsi="Calibri" w:cs="Calibri"/>
          <w:lang w:val="el-GR"/>
        </w:rPr>
        <w:t xml:space="preserve">, το </w:t>
      </w:r>
      <w:r w:rsidR="001503A4" w:rsidRPr="00AD1AAD">
        <w:rPr>
          <w:rFonts w:ascii="Calibri" w:hAnsi="Calibri" w:cs="Calibri"/>
          <w:lang w:val="el-GR"/>
        </w:rPr>
        <w:t>τ</w:t>
      </w:r>
      <w:r w:rsidRPr="00AD1AAD">
        <w:rPr>
          <w:rFonts w:ascii="Calibri" w:hAnsi="Calibri" w:cs="Calibri"/>
          <w:lang w:val="el-GR"/>
        </w:rPr>
        <w:t xml:space="preserve">ίμημα </w:t>
      </w:r>
      <w:r w:rsidR="00C41463" w:rsidRPr="00C41463">
        <w:rPr>
          <w:rFonts w:ascii="Calibri" w:hAnsi="Calibri" w:cs="Calibri"/>
          <w:lang w:val="el-GR"/>
        </w:rPr>
        <w:t>θα υπολογ</w:t>
      </w:r>
      <w:r w:rsidR="00C41463">
        <w:rPr>
          <w:rFonts w:ascii="Calibri" w:hAnsi="Calibri" w:cs="Calibri"/>
          <w:lang w:val="el-GR"/>
        </w:rPr>
        <w:t xml:space="preserve">ίζεται </w:t>
      </w:r>
      <w:r w:rsidR="00C41463" w:rsidRPr="00C41463">
        <w:rPr>
          <w:rFonts w:ascii="Calibri" w:hAnsi="Calibri" w:cs="Calibri"/>
          <w:lang w:val="el-GR"/>
        </w:rPr>
        <w:t>με βάση το τίμημα ανά μετοχή</w:t>
      </w:r>
      <w:r w:rsidR="003926C7">
        <w:rPr>
          <w:rFonts w:ascii="Calibri" w:hAnsi="Calibri" w:cs="Calibri"/>
          <w:lang w:val="el-GR"/>
        </w:rPr>
        <w:t>,</w:t>
      </w:r>
      <w:r w:rsidR="00C41463" w:rsidRPr="00C41463">
        <w:rPr>
          <w:rFonts w:ascii="Calibri" w:hAnsi="Calibri" w:cs="Calibri"/>
          <w:lang w:val="el-GR"/>
        </w:rPr>
        <w:t xml:space="preserve"> που θα εισπράξει το ΤΑΙΠΕΔ αναλογικά για το 35% των μετοχών της ΔΕΠΑ που μεταβιβάζει η HELLENiQ ENERGY </w:t>
      </w:r>
      <w:r w:rsidRPr="00AD1AAD">
        <w:rPr>
          <w:rFonts w:ascii="Calibri" w:hAnsi="Calibri" w:cs="Calibri"/>
          <w:lang w:val="el-GR"/>
        </w:rPr>
        <w:t>.</w:t>
      </w:r>
      <w:r w:rsidR="00496316">
        <w:rPr>
          <w:rFonts w:ascii="Calibri" w:hAnsi="Calibri" w:cs="Calibri"/>
          <w:lang w:val="el-GR"/>
        </w:rPr>
        <w:t xml:space="preserve"> </w:t>
      </w:r>
    </w:p>
    <w:p w14:paraId="0C873C84" w14:textId="5826865C" w:rsidR="005824DD" w:rsidRPr="00C95051" w:rsidRDefault="005824DD" w:rsidP="005824DD">
      <w:pPr>
        <w:spacing w:before="120" w:after="120" w:line="280" w:lineRule="atLeast"/>
        <w:jc w:val="both"/>
        <w:rPr>
          <w:rFonts w:ascii="Calibri" w:eastAsiaTheme="minorEastAsia" w:hAnsi="Calibri" w:cs="Calibri"/>
          <w:lang w:val="el-GR"/>
        </w:rPr>
      </w:pPr>
      <w:r w:rsidRPr="00AD1AAD">
        <w:rPr>
          <w:rFonts w:ascii="Calibri" w:eastAsiaTheme="minorEastAsia" w:hAnsi="Calibri" w:cs="Calibri"/>
          <w:lang w:val="el-GR"/>
        </w:rPr>
        <w:lastRenderedPageBreak/>
        <w:t xml:space="preserve">Το </w:t>
      </w:r>
      <w:r w:rsidR="009D0508">
        <w:rPr>
          <w:rFonts w:ascii="Calibri" w:eastAsiaTheme="minorEastAsia" w:hAnsi="Calibri" w:cs="Calibri"/>
          <w:lang w:val="el-GR"/>
        </w:rPr>
        <w:t>ΤΑΙΠΕΔ</w:t>
      </w:r>
      <w:r w:rsidRPr="00AD1AAD">
        <w:rPr>
          <w:rFonts w:ascii="Calibri" w:eastAsiaTheme="minorEastAsia" w:hAnsi="Calibri" w:cs="Calibri"/>
          <w:lang w:val="el-GR"/>
        </w:rPr>
        <w:t xml:space="preserve">, ως </w:t>
      </w:r>
      <w:r w:rsidR="00864103">
        <w:rPr>
          <w:rFonts w:ascii="Calibri" w:eastAsiaTheme="minorEastAsia" w:hAnsi="Calibri" w:cs="Calibri"/>
          <w:lang w:val="el-GR"/>
        </w:rPr>
        <w:t>μοναδικός μέτοχος</w:t>
      </w:r>
      <w:r w:rsidRPr="00AD1AAD">
        <w:rPr>
          <w:rFonts w:ascii="Calibri" w:eastAsiaTheme="minorEastAsia" w:hAnsi="Calibri" w:cs="Calibri"/>
          <w:lang w:val="el-GR"/>
        </w:rPr>
        <w:t xml:space="preserve"> </w:t>
      </w:r>
      <w:r w:rsidR="00864103">
        <w:rPr>
          <w:rFonts w:ascii="Calibri" w:eastAsiaTheme="minorEastAsia" w:hAnsi="Calibri" w:cs="Calibri"/>
          <w:lang w:val="el-GR"/>
        </w:rPr>
        <w:t>(</w:t>
      </w:r>
      <w:r w:rsidRPr="00AD1AAD">
        <w:rPr>
          <w:rFonts w:ascii="Calibri" w:eastAsiaTheme="minorEastAsia" w:hAnsi="Calibri" w:cs="Calibri"/>
          <w:lang w:val="el-GR"/>
        </w:rPr>
        <w:t>100%</w:t>
      </w:r>
      <w:r w:rsidR="00864103">
        <w:rPr>
          <w:rFonts w:ascii="Calibri" w:eastAsiaTheme="minorEastAsia" w:hAnsi="Calibri" w:cs="Calibri"/>
          <w:lang w:val="el-GR"/>
        </w:rPr>
        <w:t>)</w:t>
      </w:r>
      <w:r w:rsidRPr="00AD1AAD">
        <w:rPr>
          <w:rFonts w:ascii="Calibri" w:eastAsiaTheme="minorEastAsia" w:hAnsi="Calibri" w:cs="Calibri"/>
          <w:lang w:val="el-GR"/>
        </w:rPr>
        <w:t xml:space="preserve"> της ΔΕΠΑ </w:t>
      </w:r>
      <w:r w:rsidR="00AD1AAD">
        <w:rPr>
          <w:rFonts w:ascii="Calibri" w:eastAsiaTheme="minorEastAsia" w:hAnsi="Calibri" w:cs="Calibri"/>
          <w:lang w:val="el-GR"/>
        </w:rPr>
        <w:t xml:space="preserve">Εμπορίας </w:t>
      </w:r>
      <w:r w:rsidRPr="00AD1AAD">
        <w:rPr>
          <w:rFonts w:ascii="Calibri" w:eastAsiaTheme="minorEastAsia" w:hAnsi="Calibri" w:cs="Calibri"/>
          <w:lang w:val="el-GR"/>
        </w:rPr>
        <w:t xml:space="preserve">κατόπιν </w:t>
      </w:r>
      <w:r w:rsidR="003926C7">
        <w:rPr>
          <w:rFonts w:ascii="Calibri" w:eastAsiaTheme="minorEastAsia" w:hAnsi="Calibri" w:cs="Calibri"/>
          <w:lang w:val="el-GR"/>
        </w:rPr>
        <w:t>ολοκλήρωσης</w:t>
      </w:r>
      <w:r w:rsidRPr="00AD1AAD">
        <w:rPr>
          <w:rFonts w:ascii="Calibri" w:eastAsiaTheme="minorEastAsia" w:hAnsi="Calibri" w:cs="Calibri"/>
          <w:lang w:val="el-GR"/>
        </w:rPr>
        <w:t xml:space="preserve"> της παρούσας συναλλαγής, και με δεδομένο τον υπό εξέλιξη μετασχηματισμό της σε μια πλήρως καθετοποιημένη ενεργειακή εταιρ</w:t>
      </w:r>
      <w:r w:rsidR="00AD1AAD">
        <w:rPr>
          <w:rFonts w:ascii="Calibri" w:eastAsiaTheme="minorEastAsia" w:hAnsi="Calibri" w:cs="Calibri"/>
          <w:lang w:val="el-GR"/>
        </w:rPr>
        <w:t>ε</w:t>
      </w:r>
      <w:r w:rsidRPr="00AD1AAD">
        <w:rPr>
          <w:rFonts w:ascii="Calibri" w:eastAsiaTheme="minorEastAsia" w:hAnsi="Calibri" w:cs="Calibri"/>
          <w:lang w:val="el-GR"/>
        </w:rPr>
        <w:t>ία, σκοπεύει να επανεξετάσει τις εναλλακτικές</w:t>
      </w:r>
      <w:r w:rsidR="002953A3">
        <w:rPr>
          <w:rFonts w:ascii="Calibri" w:eastAsiaTheme="minorEastAsia" w:hAnsi="Calibri" w:cs="Calibri"/>
          <w:lang w:val="el-GR"/>
        </w:rPr>
        <w:t xml:space="preserve"> επιλογές</w:t>
      </w:r>
      <w:r w:rsidRPr="00AD1AAD">
        <w:rPr>
          <w:rFonts w:ascii="Calibri" w:eastAsiaTheme="minorEastAsia" w:hAnsi="Calibri" w:cs="Calibri"/>
          <w:lang w:val="el-GR"/>
        </w:rPr>
        <w:t xml:space="preserve"> αξιοποίησης του ποσοστού του στο άμεσο μέλλον</w:t>
      </w:r>
      <w:r w:rsidR="002953A3">
        <w:rPr>
          <w:rFonts w:ascii="Calibri" w:eastAsiaTheme="minorEastAsia" w:hAnsi="Calibri" w:cs="Calibri"/>
          <w:lang w:val="el-GR"/>
        </w:rPr>
        <w:t xml:space="preserve">. </w:t>
      </w:r>
    </w:p>
    <w:p w14:paraId="4BC102F6" w14:textId="6913E629" w:rsidR="003F1E25" w:rsidRDefault="003F1E25" w:rsidP="78A2B29B">
      <w:pPr>
        <w:spacing w:before="120" w:after="120" w:line="280" w:lineRule="atLeast"/>
        <w:jc w:val="both"/>
        <w:rPr>
          <w:rFonts w:ascii="Calibri" w:eastAsiaTheme="minorEastAsia" w:hAnsi="Calibri" w:cs="Calibri"/>
          <w:i/>
          <w:iCs/>
          <w:lang w:val="el-GR"/>
        </w:rPr>
      </w:pPr>
      <w:r w:rsidRPr="78A2B29B">
        <w:rPr>
          <w:rFonts w:ascii="Calibri" w:eastAsiaTheme="minorEastAsia" w:hAnsi="Calibri" w:cs="Calibri"/>
          <w:lang w:val="el-GR"/>
        </w:rPr>
        <w:t xml:space="preserve">Ο Διευθύνων Σύμβουλος του ΤΑΙΠΕΔ, </w:t>
      </w:r>
      <w:r w:rsidRPr="78A2B29B">
        <w:rPr>
          <w:rFonts w:ascii="Calibri" w:eastAsiaTheme="minorEastAsia" w:hAnsi="Calibri" w:cs="Calibri"/>
          <w:b/>
          <w:bCs/>
          <w:lang w:val="el-GR"/>
        </w:rPr>
        <w:t>Δημήτρης Πολίτης</w:t>
      </w:r>
      <w:r w:rsidRPr="78A2B29B">
        <w:rPr>
          <w:rFonts w:ascii="Calibri" w:eastAsiaTheme="minorEastAsia" w:hAnsi="Calibri" w:cs="Calibri"/>
          <w:lang w:val="el-GR"/>
        </w:rPr>
        <w:t>, δήλωσε μετά την επίτευξη της συμφωνίας: «</w:t>
      </w:r>
      <w:r w:rsidR="0088578A" w:rsidRPr="78A2B29B">
        <w:rPr>
          <w:rFonts w:ascii="Calibri" w:eastAsiaTheme="minorEastAsia" w:hAnsi="Calibri" w:cs="Calibri"/>
          <w:i/>
          <w:iCs/>
          <w:lang w:val="el-GR"/>
        </w:rPr>
        <w:t xml:space="preserve">Η απόκτηση από το ΤΑΙΠΕΔ του </w:t>
      </w:r>
      <w:r w:rsidR="001F3FF2" w:rsidRPr="78A2B29B">
        <w:rPr>
          <w:rFonts w:ascii="Calibri" w:eastAsiaTheme="minorEastAsia" w:hAnsi="Calibri" w:cs="Calibri"/>
          <w:i/>
          <w:iCs/>
          <w:lang w:val="el-GR"/>
        </w:rPr>
        <w:t xml:space="preserve">υπολοίπου </w:t>
      </w:r>
      <w:r w:rsidR="0088578A" w:rsidRPr="78A2B29B">
        <w:rPr>
          <w:rFonts w:ascii="Calibri" w:eastAsiaTheme="minorEastAsia" w:hAnsi="Calibri" w:cs="Calibri"/>
          <w:i/>
          <w:iCs/>
          <w:lang w:val="el-GR"/>
        </w:rPr>
        <w:t xml:space="preserve">35% </w:t>
      </w:r>
      <w:r w:rsidR="001F3FF2" w:rsidRPr="78A2B29B">
        <w:rPr>
          <w:rFonts w:ascii="Calibri" w:eastAsiaTheme="minorEastAsia" w:hAnsi="Calibri" w:cs="Calibri"/>
          <w:i/>
          <w:iCs/>
          <w:lang w:val="el-GR"/>
        </w:rPr>
        <w:t>του μετοχικού κεφαλαίου</w:t>
      </w:r>
      <w:r w:rsidR="0088578A" w:rsidRPr="78A2B29B">
        <w:rPr>
          <w:rFonts w:ascii="Calibri" w:eastAsiaTheme="minorEastAsia" w:hAnsi="Calibri" w:cs="Calibri"/>
          <w:i/>
          <w:iCs/>
          <w:lang w:val="el-GR"/>
        </w:rPr>
        <w:t xml:space="preserve"> της ΔΕΠΑ Εμπορίας και ο πλήρης έλεγχός της από το Ελληνικό Δημόσιο αποτελεί αποφασιστικό βήμα για την στρατηγική ανάπτυξη της εταιρείας τα επόμενα έτη. Η ολοκλήρωση της συναλλαγής θα συμβάλει στην επιτάχυνση του μετασχηματισμού της ΔΕΠΑ Εμπορίας σε έναν καθετοποιημένο όμιλο ενέργειας με όρους βιώσιμης ανάπτυξης, με την περαιτέρω ενίσχυση του χαρτοφυλακίου ΑΠΕ και τον περιορισμό του ανθρακικού αποτυπώματος της εταιρείας.</w:t>
      </w:r>
      <w:r w:rsidR="0088578A" w:rsidRPr="78A2B29B">
        <w:rPr>
          <w:rFonts w:ascii="Calibri" w:eastAsiaTheme="minorEastAsia" w:hAnsi="Calibri" w:cs="Calibri"/>
          <w:lang w:val="el-GR"/>
        </w:rPr>
        <w:t xml:space="preserve"> </w:t>
      </w:r>
      <w:r w:rsidR="00FD6FEC" w:rsidRPr="78A2B29B">
        <w:rPr>
          <w:rFonts w:ascii="Calibri" w:eastAsiaTheme="minorEastAsia" w:hAnsi="Calibri" w:cs="Calibri"/>
          <w:i/>
          <w:iCs/>
          <w:lang w:val="el-GR"/>
        </w:rPr>
        <w:t xml:space="preserve">Σε συνδυασμό με τη διευθέτηση των εκκρεμών νομικών ζητημάτων, οι προοπτικές αξιοποίησης της ΔΕΠΑ Εμπορίας θα αναβαθμιστούν αισθητά, με ό,τι αυτό συνεπάγεται για την αξία της συμμετοχής του Δημοσίου στην εταιρεία». </w:t>
      </w:r>
    </w:p>
    <w:p w14:paraId="73C70E15" w14:textId="77777777" w:rsidR="00FF61AA" w:rsidRDefault="00FD6FEC" w:rsidP="00F06D8D">
      <w:pPr>
        <w:jc w:val="both"/>
        <w:rPr>
          <w:rFonts w:ascii="Calibri" w:eastAsiaTheme="minorEastAsia" w:hAnsi="Calibri" w:cs="Calibri"/>
          <w:i/>
          <w:iCs/>
          <w:lang w:val="el-GR"/>
        </w:rPr>
      </w:pPr>
      <w:r w:rsidRPr="00FD6FEC">
        <w:rPr>
          <w:rFonts w:ascii="Calibri" w:eastAsiaTheme="minorEastAsia" w:hAnsi="Calibri" w:cs="Calibri"/>
          <w:lang w:val="el-GR"/>
        </w:rPr>
        <w:t xml:space="preserve">Ο Διευθύνων Σύμβουλος της </w:t>
      </w:r>
      <w:r w:rsidRPr="00FD6FEC">
        <w:rPr>
          <w:rFonts w:ascii="Calibri" w:eastAsiaTheme="minorEastAsia" w:hAnsi="Calibri" w:cs="Calibri"/>
        </w:rPr>
        <w:t>HELLENiQ</w:t>
      </w:r>
      <w:r w:rsidRPr="00FD6FEC">
        <w:rPr>
          <w:rFonts w:ascii="Calibri" w:eastAsiaTheme="minorEastAsia" w:hAnsi="Calibri" w:cs="Calibri"/>
          <w:lang w:val="el-GR"/>
        </w:rPr>
        <w:t xml:space="preserve"> </w:t>
      </w:r>
      <w:r w:rsidRPr="00FD6FEC">
        <w:rPr>
          <w:rFonts w:ascii="Calibri" w:eastAsiaTheme="minorEastAsia" w:hAnsi="Calibri" w:cs="Calibri"/>
        </w:rPr>
        <w:t>E</w:t>
      </w:r>
      <w:r w:rsidR="009D0508">
        <w:rPr>
          <w:rFonts w:ascii="Calibri" w:eastAsiaTheme="minorEastAsia" w:hAnsi="Calibri" w:cs="Calibri"/>
        </w:rPr>
        <w:t>NERGY</w:t>
      </w:r>
      <w:r w:rsidR="009D0508" w:rsidRPr="00B74EC4">
        <w:rPr>
          <w:rFonts w:ascii="Calibri" w:eastAsiaTheme="minorEastAsia" w:hAnsi="Calibri" w:cs="Calibri"/>
          <w:lang w:val="el-GR"/>
        </w:rPr>
        <w:t xml:space="preserve"> </w:t>
      </w:r>
      <w:r w:rsidR="009D0508">
        <w:rPr>
          <w:rFonts w:ascii="Calibri" w:eastAsiaTheme="minorEastAsia" w:hAnsi="Calibri" w:cs="Calibri"/>
        </w:rPr>
        <w:t>Holdings</w:t>
      </w:r>
      <w:r w:rsidRPr="00FD6FEC">
        <w:rPr>
          <w:rFonts w:ascii="Calibri" w:eastAsiaTheme="minorEastAsia" w:hAnsi="Calibri" w:cs="Calibri"/>
          <w:lang w:val="el-GR"/>
        </w:rPr>
        <w:t>,</w:t>
      </w:r>
      <w:r w:rsidRPr="00FD6FEC">
        <w:rPr>
          <w:rFonts w:ascii="Calibri" w:eastAsiaTheme="minorEastAsia" w:hAnsi="Calibri" w:cs="Calibri"/>
          <w:i/>
          <w:iCs/>
          <w:lang w:val="el-GR"/>
        </w:rPr>
        <w:t xml:space="preserve"> </w:t>
      </w:r>
      <w:r w:rsidRPr="00FD6FEC">
        <w:rPr>
          <w:rFonts w:ascii="Calibri" w:eastAsiaTheme="minorEastAsia" w:hAnsi="Calibri" w:cs="Calibri"/>
          <w:b/>
          <w:bCs/>
          <w:lang w:val="el-GR"/>
        </w:rPr>
        <w:t>Ανδρέας Σιάμισιης</w:t>
      </w:r>
      <w:r>
        <w:rPr>
          <w:rFonts w:ascii="Calibri" w:eastAsiaTheme="minorEastAsia" w:hAnsi="Calibri" w:cs="Calibri"/>
          <w:i/>
          <w:iCs/>
          <w:lang w:val="el-GR"/>
        </w:rPr>
        <w:t xml:space="preserve">, </w:t>
      </w:r>
      <w:r>
        <w:rPr>
          <w:rFonts w:ascii="Calibri" w:eastAsiaTheme="minorEastAsia" w:hAnsi="Calibri" w:cs="Calibri"/>
          <w:lang w:val="el-GR"/>
        </w:rPr>
        <w:t xml:space="preserve">επισήμανε τα εξής για τη σημασία της συναλλαγής: </w:t>
      </w:r>
      <w:r w:rsidRPr="000748EE">
        <w:rPr>
          <w:rFonts w:ascii="Calibri" w:eastAsiaTheme="minorEastAsia" w:hAnsi="Calibri" w:cs="Calibri"/>
          <w:i/>
          <w:iCs/>
          <w:lang w:val="el-GR"/>
        </w:rPr>
        <w:t>«</w:t>
      </w:r>
      <w:r w:rsidR="007A35CB" w:rsidRPr="00C94B4A">
        <w:rPr>
          <w:rFonts w:ascii="Calibri" w:eastAsiaTheme="minorEastAsia" w:hAnsi="Calibri" w:cs="Calibri"/>
          <w:i/>
          <w:iCs/>
          <w:lang w:val="el-GR"/>
        </w:rPr>
        <w:t>Με γνώμονα τις συνθήκες που είχαν διαμορφωθεί και την διαφορετική στρατηγική της κάθε εταιρ</w:t>
      </w:r>
      <w:r w:rsidR="00BB4225" w:rsidRPr="00C94B4A">
        <w:rPr>
          <w:rFonts w:ascii="Calibri" w:eastAsiaTheme="minorEastAsia" w:hAnsi="Calibri" w:cs="Calibri"/>
          <w:i/>
          <w:iCs/>
          <w:lang w:val="el-GR"/>
        </w:rPr>
        <w:t>ε</w:t>
      </w:r>
      <w:r w:rsidR="007A35CB" w:rsidRPr="00C94B4A">
        <w:rPr>
          <w:rFonts w:ascii="Calibri" w:eastAsiaTheme="minorEastAsia" w:hAnsi="Calibri" w:cs="Calibri"/>
          <w:i/>
          <w:iCs/>
          <w:lang w:val="el-GR"/>
        </w:rPr>
        <w:t xml:space="preserve">ίας, </w:t>
      </w:r>
      <w:r w:rsidR="00802E20" w:rsidRPr="00C94B4A">
        <w:rPr>
          <w:rFonts w:ascii="Calibri" w:eastAsiaTheme="minorEastAsia" w:hAnsi="Calibri" w:cs="Calibri"/>
          <w:i/>
          <w:iCs/>
          <w:lang w:val="el-GR"/>
        </w:rPr>
        <w:t xml:space="preserve">καταλήξαμε από κοινού </w:t>
      </w:r>
      <w:r w:rsidR="007A35CB" w:rsidRPr="00C94B4A">
        <w:rPr>
          <w:rFonts w:ascii="Calibri" w:eastAsiaTheme="minorEastAsia" w:hAnsi="Calibri" w:cs="Calibri"/>
          <w:i/>
          <w:iCs/>
          <w:lang w:val="el-GR"/>
        </w:rPr>
        <w:t xml:space="preserve">με το ΤΑΙΠΕΔ </w:t>
      </w:r>
      <w:r w:rsidR="00802E20" w:rsidRPr="00C94B4A">
        <w:rPr>
          <w:rFonts w:ascii="Calibri" w:eastAsiaTheme="minorEastAsia" w:hAnsi="Calibri" w:cs="Calibri"/>
          <w:i/>
          <w:iCs/>
          <w:lang w:val="el-GR"/>
        </w:rPr>
        <w:t>σε μια ρεαλιστική</w:t>
      </w:r>
      <w:r w:rsidR="00CA4AA2" w:rsidRPr="00C94B4A">
        <w:rPr>
          <w:rFonts w:ascii="Calibri" w:eastAsiaTheme="minorEastAsia" w:hAnsi="Calibri" w:cs="Calibri"/>
          <w:i/>
          <w:iCs/>
          <w:lang w:val="el-GR"/>
        </w:rPr>
        <w:t xml:space="preserve"> και υλοποιήσιμη</w:t>
      </w:r>
      <w:r w:rsidR="00802E20" w:rsidRPr="00C94B4A">
        <w:rPr>
          <w:rFonts w:ascii="Calibri" w:eastAsiaTheme="minorEastAsia" w:hAnsi="Calibri" w:cs="Calibri"/>
          <w:i/>
          <w:iCs/>
          <w:lang w:val="el-GR"/>
        </w:rPr>
        <w:t xml:space="preserve"> </w:t>
      </w:r>
      <w:r w:rsidR="00CA4AA2" w:rsidRPr="00C94B4A">
        <w:rPr>
          <w:rFonts w:ascii="Calibri" w:eastAsiaTheme="minorEastAsia" w:hAnsi="Calibri" w:cs="Calibri"/>
          <w:i/>
          <w:iCs/>
          <w:lang w:val="el-GR"/>
        </w:rPr>
        <w:t>επιλογή</w:t>
      </w:r>
      <w:r w:rsidR="00802E20" w:rsidRPr="00C94B4A">
        <w:rPr>
          <w:rFonts w:ascii="Calibri" w:eastAsiaTheme="minorEastAsia" w:hAnsi="Calibri" w:cs="Calibri"/>
          <w:i/>
          <w:iCs/>
          <w:lang w:val="el-GR"/>
        </w:rPr>
        <w:t xml:space="preserve">, </w:t>
      </w:r>
      <w:r w:rsidR="00CA4AA2" w:rsidRPr="00C94B4A">
        <w:rPr>
          <w:rFonts w:ascii="Calibri" w:eastAsiaTheme="minorEastAsia" w:hAnsi="Calibri" w:cs="Calibri"/>
          <w:i/>
          <w:iCs/>
          <w:lang w:val="el-GR"/>
        </w:rPr>
        <w:t xml:space="preserve">καθώς </w:t>
      </w:r>
      <w:r w:rsidR="00802E20" w:rsidRPr="00C94B4A">
        <w:rPr>
          <w:rFonts w:ascii="Calibri" w:eastAsiaTheme="minorEastAsia" w:hAnsi="Calibri" w:cs="Calibri"/>
          <w:i/>
          <w:iCs/>
          <w:lang w:val="el-GR"/>
        </w:rPr>
        <w:t>και σε ένα εύλογο τίμημα για τη ΔΕΠΑ Εμπορίας. Είμαι βέβαιος, πως η πώληση του 35% των μετοχών μας αποτελεί μια καθαρή λύση</w:t>
      </w:r>
      <w:r w:rsidR="00F06D8D" w:rsidRPr="00C94B4A">
        <w:rPr>
          <w:rFonts w:ascii="Calibri" w:hAnsi="Calibri" w:cs="Calibri"/>
          <w:i/>
          <w:iCs/>
          <w:lang w:val="el-GR"/>
        </w:rPr>
        <w:t>, που επιλύει τα θέματα διακυβέρνησης</w:t>
      </w:r>
      <w:r w:rsidR="00802E20" w:rsidRPr="00C94B4A">
        <w:rPr>
          <w:rFonts w:ascii="Calibri" w:eastAsiaTheme="minorEastAsia" w:hAnsi="Calibri" w:cs="Calibri"/>
          <w:i/>
          <w:iCs/>
          <w:lang w:val="el-GR"/>
        </w:rPr>
        <w:t>, η οποία θα επιτρέψει και στις δυο εταιρ</w:t>
      </w:r>
      <w:r w:rsidR="00BB4225" w:rsidRPr="00C94B4A">
        <w:rPr>
          <w:rFonts w:ascii="Calibri" w:eastAsiaTheme="minorEastAsia" w:hAnsi="Calibri" w:cs="Calibri"/>
          <w:i/>
          <w:iCs/>
          <w:lang w:val="el-GR"/>
        </w:rPr>
        <w:t>ε</w:t>
      </w:r>
      <w:r w:rsidR="00802E20" w:rsidRPr="00C94B4A">
        <w:rPr>
          <w:rFonts w:ascii="Calibri" w:eastAsiaTheme="minorEastAsia" w:hAnsi="Calibri" w:cs="Calibri"/>
          <w:i/>
          <w:iCs/>
          <w:lang w:val="el-GR"/>
        </w:rPr>
        <w:t xml:space="preserve">ίες να σχεδιάσουν ακόμη καλύτερα το μέλλον τους. Με τη συμφωνία αυτή, που έρχεται λίγες μόλις ημέρες μετά την ανακοίνωση εξαγοράς του 50% της Elpedison, υλοποιούμε πλήρως τη </w:t>
      </w:r>
      <w:r w:rsidR="00011EE4" w:rsidRPr="00C94B4A">
        <w:rPr>
          <w:rFonts w:ascii="Calibri" w:eastAsiaTheme="minorEastAsia" w:hAnsi="Calibri" w:cs="Calibri"/>
          <w:i/>
          <w:iCs/>
          <w:lang w:val="el-GR"/>
        </w:rPr>
        <w:t xml:space="preserve">στρατηγική μας </w:t>
      </w:r>
      <w:r w:rsidR="00802E20" w:rsidRPr="00C94B4A">
        <w:rPr>
          <w:rFonts w:ascii="Calibri" w:eastAsiaTheme="minorEastAsia" w:hAnsi="Calibri" w:cs="Calibri"/>
          <w:i/>
          <w:iCs/>
          <w:lang w:val="el-GR"/>
        </w:rPr>
        <w:t>δέσμευσή να προχωρήσουμε στον εξορθολογισμό του χαρτοφυλακίου της HELLENiQ ENERGY στον τομέα της ηλεκτρικής ενέργειας και του φυσικού αερίου. Από την πλευρά μας, η νέα αυτή δομή θα δώσει ακόμη μεγαλύτερη ώθηση στο στρατηγικό μας σχέδιο “Vision 2025”, το οποίο υλοποιούμε πιστά τα τελευταία τρία χρόνια, με ορατά αποτελέσματα για την εταιρία και τους μετόχους μας</w:t>
      </w:r>
      <w:r w:rsidRPr="00C94B4A">
        <w:rPr>
          <w:rFonts w:ascii="Calibri" w:eastAsiaTheme="minorEastAsia" w:hAnsi="Calibri" w:cs="Calibri"/>
          <w:i/>
          <w:iCs/>
          <w:lang w:val="el-GR"/>
        </w:rPr>
        <w:t>»</w:t>
      </w:r>
      <w:r w:rsidR="00BB4225">
        <w:rPr>
          <w:rFonts w:ascii="Calibri" w:eastAsiaTheme="minorEastAsia" w:hAnsi="Calibri" w:cs="Calibri"/>
          <w:i/>
          <w:iCs/>
          <w:lang w:val="el-GR"/>
        </w:rPr>
        <w:t>.</w:t>
      </w:r>
    </w:p>
    <w:p w14:paraId="224DE18B" w14:textId="77777777" w:rsidR="00FF61AA" w:rsidRDefault="00FF61AA" w:rsidP="00F06D8D">
      <w:pPr>
        <w:jc w:val="both"/>
        <w:rPr>
          <w:rFonts w:ascii="Calibri" w:eastAsiaTheme="minorEastAsia" w:hAnsi="Calibri" w:cs="Calibri"/>
          <w:i/>
          <w:iCs/>
          <w:lang w:val="el-GR"/>
        </w:rPr>
      </w:pPr>
    </w:p>
    <w:p w14:paraId="3E1CF116" w14:textId="77777777" w:rsidR="00FF61AA" w:rsidRDefault="00FF61AA" w:rsidP="00F06D8D">
      <w:pPr>
        <w:jc w:val="both"/>
        <w:rPr>
          <w:rFonts w:ascii="Calibri" w:eastAsiaTheme="minorEastAsia" w:hAnsi="Calibri" w:cs="Calibri"/>
          <w:i/>
          <w:iCs/>
          <w:lang w:val="el-GR"/>
        </w:rPr>
      </w:pPr>
    </w:p>
    <w:p w14:paraId="4606545F" w14:textId="77777777" w:rsidR="00FF61AA" w:rsidRDefault="00FF61AA" w:rsidP="00F06D8D">
      <w:pPr>
        <w:jc w:val="both"/>
        <w:rPr>
          <w:rFonts w:ascii="Calibri" w:eastAsiaTheme="minorEastAsia" w:hAnsi="Calibri" w:cs="Calibri"/>
          <w:i/>
          <w:iCs/>
          <w:lang w:val="el-GR"/>
        </w:rPr>
      </w:pPr>
    </w:p>
    <w:p w14:paraId="7BDF9C72" w14:textId="77777777" w:rsidR="00FF61AA" w:rsidRPr="00E566EF" w:rsidRDefault="00FF61AA" w:rsidP="00FF61AA">
      <w:pPr>
        <w:jc w:val="both"/>
        <w:rPr>
          <w:rFonts w:ascii="Calibri" w:hAnsi="Calibri" w:cs="Calibri"/>
          <w:b/>
          <w:bCs/>
          <w:sz w:val="20"/>
          <w:szCs w:val="20"/>
          <w:lang w:val="el-GR"/>
        </w:rPr>
      </w:pPr>
      <w:r w:rsidRPr="00E566EF">
        <w:rPr>
          <w:rFonts w:ascii="Calibri" w:hAnsi="Calibri" w:cs="Calibri"/>
          <w:sz w:val="20"/>
          <w:szCs w:val="20"/>
          <w:lang w:val="el-GR"/>
        </w:rPr>
        <w:t xml:space="preserve">Για περισσότερες πληροφορίες και ενημέρωση σχετικά με το ΤΑΙΠΕΔ, μπορείτε να ανατρέξετε στην </w:t>
      </w:r>
      <w:hyperlink r:id="rId10" w:history="1">
        <w:r w:rsidRPr="00E566EF">
          <w:rPr>
            <w:rStyle w:val="Hyperlink"/>
            <w:rFonts w:ascii="Calibri" w:hAnsi="Calibri" w:cs="Calibri"/>
            <w:sz w:val="20"/>
            <w:szCs w:val="20"/>
            <w:lang w:val="el-GR"/>
          </w:rPr>
          <w:t>ιστοσελίδα</w:t>
        </w:r>
      </w:hyperlink>
      <w:r w:rsidRPr="00E566EF">
        <w:rPr>
          <w:rFonts w:ascii="Calibri" w:hAnsi="Calibri" w:cs="Calibri"/>
          <w:sz w:val="20"/>
          <w:szCs w:val="20"/>
          <w:lang w:val="el-GR"/>
        </w:rPr>
        <w:t xml:space="preserve"> του Ταμείου.</w:t>
      </w:r>
    </w:p>
    <w:p w14:paraId="4C81BCBF" w14:textId="77777777" w:rsidR="00FF61AA" w:rsidRPr="00E566EF" w:rsidRDefault="00FF61AA" w:rsidP="00FF61AA">
      <w:pPr>
        <w:jc w:val="both"/>
        <w:rPr>
          <w:rFonts w:ascii="Calibri" w:hAnsi="Calibri" w:cs="Calibri"/>
          <w:sz w:val="20"/>
          <w:szCs w:val="20"/>
          <w:lang w:val="el-GR"/>
        </w:rPr>
      </w:pPr>
      <w:r w:rsidRPr="00E566EF">
        <w:rPr>
          <w:rFonts w:ascii="Calibri" w:hAnsi="Calibri" w:cs="Calibri"/>
          <w:b/>
          <w:bCs/>
          <w:sz w:val="20"/>
          <w:szCs w:val="20"/>
          <w:lang w:val="el-GR"/>
        </w:rPr>
        <w:t>Πληροφορίες για δημοσιογράφους</w:t>
      </w:r>
      <w:r w:rsidRPr="00E566EF">
        <w:rPr>
          <w:rFonts w:ascii="Calibri" w:hAnsi="Calibri" w:cs="Calibri"/>
          <w:sz w:val="20"/>
          <w:szCs w:val="20"/>
          <w:lang w:val="el-GR"/>
        </w:rPr>
        <w:t xml:space="preserve">: Αχιλλέας Τόπας, Τηλέφωνο επικοινωνίας +30 6944902085, </w:t>
      </w:r>
      <w:r w:rsidRPr="00E566EF">
        <w:rPr>
          <w:rFonts w:ascii="Calibri" w:hAnsi="Calibri" w:cs="Calibri"/>
          <w:sz w:val="20"/>
          <w:szCs w:val="20"/>
        </w:rPr>
        <w:t>Email</w:t>
      </w:r>
      <w:r w:rsidRPr="00E566EF">
        <w:rPr>
          <w:rFonts w:ascii="Calibri" w:hAnsi="Calibri" w:cs="Calibri"/>
          <w:sz w:val="20"/>
          <w:szCs w:val="20"/>
          <w:lang w:val="el-GR"/>
        </w:rPr>
        <w:t xml:space="preserve"> </w:t>
      </w:r>
      <w:hyperlink r:id="rId11" w:history="1">
        <w:r w:rsidRPr="00E566EF">
          <w:rPr>
            <w:rStyle w:val="Hyperlink"/>
            <w:rFonts w:ascii="Calibri" w:hAnsi="Calibri" w:cs="Calibri"/>
            <w:color w:val="007BB8"/>
            <w:sz w:val="20"/>
            <w:szCs w:val="20"/>
          </w:rPr>
          <w:t>press</w:t>
        </w:r>
        <w:r w:rsidRPr="00E566EF">
          <w:rPr>
            <w:rStyle w:val="Hyperlink"/>
            <w:rFonts w:ascii="Calibri" w:hAnsi="Calibri" w:cs="Calibri"/>
            <w:color w:val="007BB8"/>
            <w:sz w:val="20"/>
            <w:szCs w:val="20"/>
            <w:lang w:val="el-GR"/>
          </w:rPr>
          <w:t>@</w:t>
        </w:r>
        <w:r w:rsidRPr="00E566EF">
          <w:rPr>
            <w:rStyle w:val="Hyperlink"/>
            <w:rFonts w:ascii="Calibri" w:hAnsi="Calibri" w:cs="Calibri"/>
            <w:color w:val="007BB8"/>
            <w:sz w:val="20"/>
            <w:szCs w:val="20"/>
          </w:rPr>
          <w:t>hraf</w:t>
        </w:r>
        <w:r w:rsidRPr="00E566EF">
          <w:rPr>
            <w:rStyle w:val="Hyperlink"/>
            <w:rFonts w:ascii="Calibri" w:hAnsi="Calibri" w:cs="Calibri"/>
            <w:color w:val="007BB8"/>
            <w:sz w:val="20"/>
            <w:szCs w:val="20"/>
            <w:lang w:val="el-GR"/>
          </w:rPr>
          <w:t>.</w:t>
        </w:r>
        <w:r w:rsidRPr="00E566EF">
          <w:rPr>
            <w:rStyle w:val="Hyperlink"/>
            <w:rFonts w:ascii="Calibri" w:hAnsi="Calibri" w:cs="Calibri"/>
            <w:color w:val="007BB8"/>
            <w:sz w:val="20"/>
            <w:szCs w:val="20"/>
          </w:rPr>
          <w:t>gr</w:t>
        </w:r>
      </w:hyperlink>
      <w:r w:rsidRPr="00E566EF">
        <w:rPr>
          <w:rFonts w:ascii="Calibri" w:hAnsi="Calibri" w:cs="Calibri"/>
          <w:color w:val="007BB8"/>
          <w:sz w:val="20"/>
          <w:szCs w:val="20"/>
          <w:lang w:val="el-GR"/>
        </w:rPr>
        <w:t xml:space="preserve"> </w:t>
      </w:r>
      <w:r w:rsidRPr="00E566EF">
        <w:rPr>
          <w:rFonts w:ascii="Calibri" w:hAnsi="Calibri" w:cs="Calibri"/>
          <w:sz w:val="20"/>
          <w:szCs w:val="20"/>
          <w:lang w:val="el-GR"/>
        </w:rPr>
        <w:t xml:space="preserve">&amp; </w:t>
      </w:r>
      <w:r w:rsidRPr="00E566EF">
        <w:rPr>
          <w:rFonts w:ascii="Calibri" w:hAnsi="Calibri" w:cs="Calibri"/>
          <w:color w:val="007BB8"/>
          <w:sz w:val="20"/>
          <w:szCs w:val="20"/>
          <w:u w:val="single"/>
        </w:rPr>
        <w:t>atopas</w:t>
      </w:r>
      <w:r w:rsidRPr="00E566EF">
        <w:rPr>
          <w:rFonts w:ascii="Calibri" w:hAnsi="Calibri" w:cs="Calibri"/>
          <w:color w:val="007BB8"/>
          <w:sz w:val="20"/>
          <w:szCs w:val="20"/>
          <w:u w:val="single"/>
          <w:lang w:val="el-GR"/>
        </w:rPr>
        <w:t>@</w:t>
      </w:r>
      <w:r w:rsidRPr="00E566EF">
        <w:rPr>
          <w:rFonts w:ascii="Calibri" w:hAnsi="Calibri" w:cs="Calibri"/>
          <w:color w:val="007BB8"/>
          <w:sz w:val="20"/>
          <w:szCs w:val="20"/>
          <w:u w:val="single"/>
        </w:rPr>
        <w:t>hraf</w:t>
      </w:r>
      <w:r w:rsidRPr="00E566EF">
        <w:rPr>
          <w:rFonts w:ascii="Calibri" w:hAnsi="Calibri" w:cs="Calibri"/>
          <w:color w:val="007BB8"/>
          <w:sz w:val="20"/>
          <w:szCs w:val="20"/>
          <w:u w:val="single"/>
          <w:lang w:val="el-GR"/>
        </w:rPr>
        <w:t>.</w:t>
      </w:r>
      <w:r w:rsidRPr="00E566EF">
        <w:rPr>
          <w:rFonts w:ascii="Calibri" w:hAnsi="Calibri" w:cs="Calibri"/>
          <w:color w:val="007BB8"/>
          <w:sz w:val="20"/>
          <w:szCs w:val="20"/>
          <w:u w:val="single"/>
        </w:rPr>
        <w:t>gr</w:t>
      </w:r>
    </w:p>
    <w:p w14:paraId="2832C4A1" w14:textId="77777777" w:rsidR="00FF61AA" w:rsidRPr="00E566EF" w:rsidRDefault="00FF61AA" w:rsidP="00FF61AA">
      <w:pPr>
        <w:jc w:val="both"/>
        <w:rPr>
          <w:rFonts w:ascii="Calibri" w:hAnsi="Calibri" w:cs="Calibri"/>
          <w:lang w:val="el-GR"/>
        </w:rPr>
      </w:pPr>
    </w:p>
    <w:p w14:paraId="16EB21BF" w14:textId="7759AB1C" w:rsidR="00FD6FEC" w:rsidRPr="00F06D8D" w:rsidRDefault="00FD6FEC" w:rsidP="00F06D8D">
      <w:pPr>
        <w:jc w:val="both"/>
        <w:rPr>
          <w:rFonts w:ascii="Calibri" w:hAnsi="Calibri" w:cs="Calibri"/>
          <w:lang w:val="el-GR"/>
        </w:rPr>
      </w:pPr>
      <w:r>
        <w:rPr>
          <w:rFonts w:ascii="Calibri" w:eastAsiaTheme="minorEastAsia" w:hAnsi="Calibri" w:cs="Calibri"/>
          <w:lang w:val="el-GR"/>
        </w:rPr>
        <w:t xml:space="preserve"> </w:t>
      </w:r>
    </w:p>
    <w:p w14:paraId="66E223E0" w14:textId="77777777" w:rsidR="00C649BD" w:rsidRPr="00AD1AAD" w:rsidRDefault="00C649BD" w:rsidP="00C649BD">
      <w:pPr>
        <w:jc w:val="both"/>
        <w:rPr>
          <w:rFonts w:ascii="Calibri" w:hAnsi="Calibri" w:cs="Calibri"/>
          <w:lang w:val="el-GR"/>
        </w:rPr>
      </w:pPr>
    </w:p>
    <w:p w14:paraId="0C515A47" w14:textId="77777777" w:rsidR="00C649BD" w:rsidRPr="00AD1AAD" w:rsidRDefault="00C649BD" w:rsidP="00C649BD">
      <w:pPr>
        <w:jc w:val="both"/>
        <w:rPr>
          <w:rFonts w:ascii="Calibri" w:hAnsi="Calibri" w:cs="Calibri"/>
          <w:lang w:val="el-GR"/>
        </w:rPr>
      </w:pPr>
    </w:p>
    <w:p w14:paraId="12949C98" w14:textId="77777777" w:rsidR="00C649BD" w:rsidRPr="00AD1AAD" w:rsidRDefault="00C649BD" w:rsidP="00C649BD">
      <w:pPr>
        <w:rPr>
          <w:rFonts w:ascii="Calibri" w:hAnsi="Calibri" w:cs="Calibri"/>
          <w:lang w:val="el-GR"/>
        </w:rPr>
      </w:pPr>
    </w:p>
    <w:p w14:paraId="0C50EC5D" w14:textId="77777777" w:rsidR="00347210" w:rsidRPr="00AD1AAD" w:rsidRDefault="00347210">
      <w:pPr>
        <w:rPr>
          <w:rFonts w:ascii="Calibri" w:hAnsi="Calibri" w:cs="Calibri"/>
          <w:lang w:val="el-GR"/>
        </w:rPr>
      </w:pPr>
    </w:p>
    <w:sectPr w:rsidR="00347210" w:rsidRPr="00AD1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1BB"/>
    <w:multiLevelType w:val="hybridMultilevel"/>
    <w:tmpl w:val="70F02AF2"/>
    <w:lvl w:ilvl="0" w:tplc="FE92D7AA">
      <w:start w:val="1"/>
      <w:numFmt w:val="bullet"/>
      <w:lvlText w:val=""/>
      <w:lvlJc w:val="left"/>
      <w:pPr>
        <w:tabs>
          <w:tab w:val="num" w:pos="720"/>
        </w:tabs>
        <w:ind w:left="720" w:hanging="360"/>
      </w:pPr>
      <w:rPr>
        <w:rFonts w:ascii="Wingdings" w:hAnsi="Wingdings" w:hint="default"/>
      </w:rPr>
    </w:lvl>
    <w:lvl w:ilvl="1" w:tplc="1F706C14" w:tentative="1">
      <w:start w:val="1"/>
      <w:numFmt w:val="bullet"/>
      <w:lvlText w:val=""/>
      <w:lvlJc w:val="left"/>
      <w:pPr>
        <w:tabs>
          <w:tab w:val="num" w:pos="1440"/>
        </w:tabs>
        <w:ind w:left="1440" w:hanging="360"/>
      </w:pPr>
      <w:rPr>
        <w:rFonts w:ascii="Wingdings" w:hAnsi="Wingdings" w:hint="default"/>
      </w:rPr>
    </w:lvl>
    <w:lvl w:ilvl="2" w:tplc="9A867FDA" w:tentative="1">
      <w:start w:val="1"/>
      <w:numFmt w:val="bullet"/>
      <w:lvlText w:val=""/>
      <w:lvlJc w:val="left"/>
      <w:pPr>
        <w:tabs>
          <w:tab w:val="num" w:pos="2160"/>
        </w:tabs>
        <w:ind w:left="2160" w:hanging="360"/>
      </w:pPr>
      <w:rPr>
        <w:rFonts w:ascii="Wingdings" w:hAnsi="Wingdings" w:hint="default"/>
      </w:rPr>
    </w:lvl>
    <w:lvl w:ilvl="3" w:tplc="5F42CEB2" w:tentative="1">
      <w:start w:val="1"/>
      <w:numFmt w:val="bullet"/>
      <w:lvlText w:val=""/>
      <w:lvlJc w:val="left"/>
      <w:pPr>
        <w:tabs>
          <w:tab w:val="num" w:pos="2880"/>
        </w:tabs>
        <w:ind w:left="2880" w:hanging="360"/>
      </w:pPr>
      <w:rPr>
        <w:rFonts w:ascii="Wingdings" w:hAnsi="Wingdings" w:hint="default"/>
      </w:rPr>
    </w:lvl>
    <w:lvl w:ilvl="4" w:tplc="0DC806C2" w:tentative="1">
      <w:start w:val="1"/>
      <w:numFmt w:val="bullet"/>
      <w:lvlText w:val=""/>
      <w:lvlJc w:val="left"/>
      <w:pPr>
        <w:tabs>
          <w:tab w:val="num" w:pos="3600"/>
        </w:tabs>
        <w:ind w:left="3600" w:hanging="360"/>
      </w:pPr>
      <w:rPr>
        <w:rFonts w:ascii="Wingdings" w:hAnsi="Wingdings" w:hint="default"/>
      </w:rPr>
    </w:lvl>
    <w:lvl w:ilvl="5" w:tplc="B0D6756E" w:tentative="1">
      <w:start w:val="1"/>
      <w:numFmt w:val="bullet"/>
      <w:lvlText w:val=""/>
      <w:lvlJc w:val="left"/>
      <w:pPr>
        <w:tabs>
          <w:tab w:val="num" w:pos="4320"/>
        </w:tabs>
        <w:ind w:left="4320" w:hanging="360"/>
      </w:pPr>
      <w:rPr>
        <w:rFonts w:ascii="Wingdings" w:hAnsi="Wingdings" w:hint="default"/>
      </w:rPr>
    </w:lvl>
    <w:lvl w:ilvl="6" w:tplc="9B081820" w:tentative="1">
      <w:start w:val="1"/>
      <w:numFmt w:val="bullet"/>
      <w:lvlText w:val=""/>
      <w:lvlJc w:val="left"/>
      <w:pPr>
        <w:tabs>
          <w:tab w:val="num" w:pos="5040"/>
        </w:tabs>
        <w:ind w:left="5040" w:hanging="360"/>
      </w:pPr>
      <w:rPr>
        <w:rFonts w:ascii="Wingdings" w:hAnsi="Wingdings" w:hint="default"/>
      </w:rPr>
    </w:lvl>
    <w:lvl w:ilvl="7" w:tplc="E2602832" w:tentative="1">
      <w:start w:val="1"/>
      <w:numFmt w:val="bullet"/>
      <w:lvlText w:val=""/>
      <w:lvlJc w:val="left"/>
      <w:pPr>
        <w:tabs>
          <w:tab w:val="num" w:pos="5760"/>
        </w:tabs>
        <w:ind w:left="5760" w:hanging="360"/>
      </w:pPr>
      <w:rPr>
        <w:rFonts w:ascii="Wingdings" w:hAnsi="Wingdings" w:hint="default"/>
      </w:rPr>
    </w:lvl>
    <w:lvl w:ilvl="8" w:tplc="88C674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B64A3E"/>
    <w:multiLevelType w:val="hybridMultilevel"/>
    <w:tmpl w:val="BF4A0296"/>
    <w:lvl w:ilvl="0" w:tplc="815661F4">
      <w:start w:val="1"/>
      <w:numFmt w:val="bullet"/>
      <w:lvlText w:val=""/>
      <w:lvlJc w:val="left"/>
      <w:pPr>
        <w:tabs>
          <w:tab w:val="num" w:pos="720"/>
        </w:tabs>
        <w:ind w:left="720" w:hanging="360"/>
      </w:pPr>
      <w:rPr>
        <w:rFonts w:ascii="Wingdings" w:hAnsi="Wingdings" w:hint="default"/>
      </w:rPr>
    </w:lvl>
    <w:lvl w:ilvl="1" w:tplc="390A98B2" w:tentative="1">
      <w:start w:val="1"/>
      <w:numFmt w:val="bullet"/>
      <w:lvlText w:val=""/>
      <w:lvlJc w:val="left"/>
      <w:pPr>
        <w:tabs>
          <w:tab w:val="num" w:pos="1440"/>
        </w:tabs>
        <w:ind w:left="1440" w:hanging="360"/>
      </w:pPr>
      <w:rPr>
        <w:rFonts w:ascii="Wingdings" w:hAnsi="Wingdings" w:hint="default"/>
      </w:rPr>
    </w:lvl>
    <w:lvl w:ilvl="2" w:tplc="817879DE" w:tentative="1">
      <w:start w:val="1"/>
      <w:numFmt w:val="bullet"/>
      <w:lvlText w:val=""/>
      <w:lvlJc w:val="left"/>
      <w:pPr>
        <w:tabs>
          <w:tab w:val="num" w:pos="2160"/>
        </w:tabs>
        <w:ind w:left="2160" w:hanging="360"/>
      </w:pPr>
      <w:rPr>
        <w:rFonts w:ascii="Wingdings" w:hAnsi="Wingdings" w:hint="default"/>
      </w:rPr>
    </w:lvl>
    <w:lvl w:ilvl="3" w:tplc="9772913A" w:tentative="1">
      <w:start w:val="1"/>
      <w:numFmt w:val="bullet"/>
      <w:lvlText w:val=""/>
      <w:lvlJc w:val="left"/>
      <w:pPr>
        <w:tabs>
          <w:tab w:val="num" w:pos="2880"/>
        </w:tabs>
        <w:ind w:left="2880" w:hanging="360"/>
      </w:pPr>
      <w:rPr>
        <w:rFonts w:ascii="Wingdings" w:hAnsi="Wingdings" w:hint="default"/>
      </w:rPr>
    </w:lvl>
    <w:lvl w:ilvl="4" w:tplc="01E28FDE" w:tentative="1">
      <w:start w:val="1"/>
      <w:numFmt w:val="bullet"/>
      <w:lvlText w:val=""/>
      <w:lvlJc w:val="left"/>
      <w:pPr>
        <w:tabs>
          <w:tab w:val="num" w:pos="3600"/>
        </w:tabs>
        <w:ind w:left="3600" w:hanging="360"/>
      </w:pPr>
      <w:rPr>
        <w:rFonts w:ascii="Wingdings" w:hAnsi="Wingdings" w:hint="default"/>
      </w:rPr>
    </w:lvl>
    <w:lvl w:ilvl="5" w:tplc="E268726A" w:tentative="1">
      <w:start w:val="1"/>
      <w:numFmt w:val="bullet"/>
      <w:lvlText w:val=""/>
      <w:lvlJc w:val="left"/>
      <w:pPr>
        <w:tabs>
          <w:tab w:val="num" w:pos="4320"/>
        </w:tabs>
        <w:ind w:left="4320" w:hanging="360"/>
      </w:pPr>
      <w:rPr>
        <w:rFonts w:ascii="Wingdings" w:hAnsi="Wingdings" w:hint="default"/>
      </w:rPr>
    </w:lvl>
    <w:lvl w:ilvl="6" w:tplc="F0A0F4A0" w:tentative="1">
      <w:start w:val="1"/>
      <w:numFmt w:val="bullet"/>
      <w:lvlText w:val=""/>
      <w:lvlJc w:val="left"/>
      <w:pPr>
        <w:tabs>
          <w:tab w:val="num" w:pos="5040"/>
        </w:tabs>
        <w:ind w:left="5040" w:hanging="360"/>
      </w:pPr>
      <w:rPr>
        <w:rFonts w:ascii="Wingdings" w:hAnsi="Wingdings" w:hint="default"/>
      </w:rPr>
    </w:lvl>
    <w:lvl w:ilvl="7" w:tplc="389AFE0C" w:tentative="1">
      <w:start w:val="1"/>
      <w:numFmt w:val="bullet"/>
      <w:lvlText w:val=""/>
      <w:lvlJc w:val="left"/>
      <w:pPr>
        <w:tabs>
          <w:tab w:val="num" w:pos="5760"/>
        </w:tabs>
        <w:ind w:left="5760" w:hanging="360"/>
      </w:pPr>
      <w:rPr>
        <w:rFonts w:ascii="Wingdings" w:hAnsi="Wingdings" w:hint="default"/>
      </w:rPr>
    </w:lvl>
    <w:lvl w:ilvl="8" w:tplc="DE7CDD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34D23"/>
    <w:multiLevelType w:val="hybridMultilevel"/>
    <w:tmpl w:val="F9D2B108"/>
    <w:lvl w:ilvl="0" w:tplc="FC0C0A86">
      <w:start w:val="1"/>
      <w:numFmt w:val="lowerRoman"/>
      <w:lvlText w:val="%1."/>
      <w:lvlJc w:val="right"/>
      <w:pPr>
        <w:tabs>
          <w:tab w:val="num" w:pos="720"/>
        </w:tabs>
        <w:ind w:left="720" w:hanging="360"/>
      </w:pPr>
    </w:lvl>
    <w:lvl w:ilvl="1" w:tplc="01CC6EDC">
      <w:start w:val="1"/>
      <w:numFmt w:val="lowerRoman"/>
      <w:lvlText w:val="%2."/>
      <w:lvlJc w:val="right"/>
      <w:pPr>
        <w:tabs>
          <w:tab w:val="num" w:pos="1440"/>
        </w:tabs>
        <w:ind w:left="1440" w:hanging="360"/>
      </w:pPr>
    </w:lvl>
    <w:lvl w:ilvl="2" w:tplc="4C94426E" w:tentative="1">
      <w:start w:val="1"/>
      <w:numFmt w:val="lowerRoman"/>
      <w:lvlText w:val="%3."/>
      <w:lvlJc w:val="right"/>
      <w:pPr>
        <w:tabs>
          <w:tab w:val="num" w:pos="2160"/>
        </w:tabs>
        <w:ind w:left="2160" w:hanging="360"/>
      </w:pPr>
    </w:lvl>
    <w:lvl w:ilvl="3" w:tplc="E70431F6" w:tentative="1">
      <w:start w:val="1"/>
      <w:numFmt w:val="lowerRoman"/>
      <w:lvlText w:val="%4."/>
      <w:lvlJc w:val="right"/>
      <w:pPr>
        <w:tabs>
          <w:tab w:val="num" w:pos="2880"/>
        </w:tabs>
        <w:ind w:left="2880" w:hanging="360"/>
      </w:pPr>
    </w:lvl>
    <w:lvl w:ilvl="4" w:tplc="28AA54C0" w:tentative="1">
      <w:start w:val="1"/>
      <w:numFmt w:val="lowerRoman"/>
      <w:lvlText w:val="%5."/>
      <w:lvlJc w:val="right"/>
      <w:pPr>
        <w:tabs>
          <w:tab w:val="num" w:pos="3600"/>
        </w:tabs>
        <w:ind w:left="3600" w:hanging="360"/>
      </w:pPr>
    </w:lvl>
    <w:lvl w:ilvl="5" w:tplc="CFA48008" w:tentative="1">
      <w:start w:val="1"/>
      <w:numFmt w:val="lowerRoman"/>
      <w:lvlText w:val="%6."/>
      <w:lvlJc w:val="right"/>
      <w:pPr>
        <w:tabs>
          <w:tab w:val="num" w:pos="4320"/>
        </w:tabs>
        <w:ind w:left="4320" w:hanging="360"/>
      </w:pPr>
    </w:lvl>
    <w:lvl w:ilvl="6" w:tplc="27C046DA" w:tentative="1">
      <w:start w:val="1"/>
      <w:numFmt w:val="lowerRoman"/>
      <w:lvlText w:val="%7."/>
      <w:lvlJc w:val="right"/>
      <w:pPr>
        <w:tabs>
          <w:tab w:val="num" w:pos="5040"/>
        </w:tabs>
        <w:ind w:left="5040" w:hanging="360"/>
      </w:pPr>
    </w:lvl>
    <w:lvl w:ilvl="7" w:tplc="963888E0" w:tentative="1">
      <w:start w:val="1"/>
      <w:numFmt w:val="lowerRoman"/>
      <w:lvlText w:val="%8."/>
      <w:lvlJc w:val="right"/>
      <w:pPr>
        <w:tabs>
          <w:tab w:val="num" w:pos="5760"/>
        </w:tabs>
        <w:ind w:left="5760" w:hanging="360"/>
      </w:pPr>
    </w:lvl>
    <w:lvl w:ilvl="8" w:tplc="68DEAE02" w:tentative="1">
      <w:start w:val="1"/>
      <w:numFmt w:val="lowerRoman"/>
      <w:lvlText w:val="%9."/>
      <w:lvlJc w:val="right"/>
      <w:pPr>
        <w:tabs>
          <w:tab w:val="num" w:pos="6480"/>
        </w:tabs>
        <w:ind w:left="6480" w:hanging="360"/>
      </w:pPr>
    </w:lvl>
  </w:abstractNum>
  <w:abstractNum w:abstractNumId="3" w15:restartNumberingAfterBreak="0">
    <w:nsid w:val="699D7445"/>
    <w:multiLevelType w:val="hybridMultilevel"/>
    <w:tmpl w:val="7FC2938E"/>
    <w:lvl w:ilvl="0" w:tplc="128E3A8C">
      <w:start w:val="1"/>
      <w:numFmt w:val="bullet"/>
      <w:lvlText w:val=""/>
      <w:lvlJc w:val="left"/>
      <w:pPr>
        <w:tabs>
          <w:tab w:val="num" w:pos="720"/>
        </w:tabs>
        <w:ind w:left="720" w:hanging="360"/>
      </w:pPr>
      <w:rPr>
        <w:rFonts w:ascii="Wingdings" w:hAnsi="Wingdings" w:hint="default"/>
      </w:rPr>
    </w:lvl>
    <w:lvl w:ilvl="1" w:tplc="7E6EB516" w:tentative="1">
      <w:start w:val="1"/>
      <w:numFmt w:val="bullet"/>
      <w:lvlText w:val=""/>
      <w:lvlJc w:val="left"/>
      <w:pPr>
        <w:tabs>
          <w:tab w:val="num" w:pos="1440"/>
        </w:tabs>
        <w:ind w:left="1440" w:hanging="360"/>
      </w:pPr>
      <w:rPr>
        <w:rFonts w:ascii="Wingdings" w:hAnsi="Wingdings" w:hint="default"/>
      </w:rPr>
    </w:lvl>
    <w:lvl w:ilvl="2" w:tplc="A9CA3148" w:tentative="1">
      <w:start w:val="1"/>
      <w:numFmt w:val="bullet"/>
      <w:lvlText w:val=""/>
      <w:lvlJc w:val="left"/>
      <w:pPr>
        <w:tabs>
          <w:tab w:val="num" w:pos="2160"/>
        </w:tabs>
        <w:ind w:left="2160" w:hanging="360"/>
      </w:pPr>
      <w:rPr>
        <w:rFonts w:ascii="Wingdings" w:hAnsi="Wingdings" w:hint="default"/>
      </w:rPr>
    </w:lvl>
    <w:lvl w:ilvl="3" w:tplc="03DEAFBA" w:tentative="1">
      <w:start w:val="1"/>
      <w:numFmt w:val="bullet"/>
      <w:lvlText w:val=""/>
      <w:lvlJc w:val="left"/>
      <w:pPr>
        <w:tabs>
          <w:tab w:val="num" w:pos="2880"/>
        </w:tabs>
        <w:ind w:left="2880" w:hanging="360"/>
      </w:pPr>
      <w:rPr>
        <w:rFonts w:ascii="Wingdings" w:hAnsi="Wingdings" w:hint="default"/>
      </w:rPr>
    </w:lvl>
    <w:lvl w:ilvl="4" w:tplc="FD88D1CE" w:tentative="1">
      <w:start w:val="1"/>
      <w:numFmt w:val="bullet"/>
      <w:lvlText w:val=""/>
      <w:lvlJc w:val="left"/>
      <w:pPr>
        <w:tabs>
          <w:tab w:val="num" w:pos="3600"/>
        </w:tabs>
        <w:ind w:left="3600" w:hanging="360"/>
      </w:pPr>
      <w:rPr>
        <w:rFonts w:ascii="Wingdings" w:hAnsi="Wingdings" w:hint="default"/>
      </w:rPr>
    </w:lvl>
    <w:lvl w:ilvl="5" w:tplc="873EEDF4" w:tentative="1">
      <w:start w:val="1"/>
      <w:numFmt w:val="bullet"/>
      <w:lvlText w:val=""/>
      <w:lvlJc w:val="left"/>
      <w:pPr>
        <w:tabs>
          <w:tab w:val="num" w:pos="4320"/>
        </w:tabs>
        <w:ind w:left="4320" w:hanging="360"/>
      </w:pPr>
      <w:rPr>
        <w:rFonts w:ascii="Wingdings" w:hAnsi="Wingdings" w:hint="default"/>
      </w:rPr>
    </w:lvl>
    <w:lvl w:ilvl="6" w:tplc="3F1475A8" w:tentative="1">
      <w:start w:val="1"/>
      <w:numFmt w:val="bullet"/>
      <w:lvlText w:val=""/>
      <w:lvlJc w:val="left"/>
      <w:pPr>
        <w:tabs>
          <w:tab w:val="num" w:pos="5040"/>
        </w:tabs>
        <w:ind w:left="5040" w:hanging="360"/>
      </w:pPr>
      <w:rPr>
        <w:rFonts w:ascii="Wingdings" w:hAnsi="Wingdings" w:hint="default"/>
      </w:rPr>
    </w:lvl>
    <w:lvl w:ilvl="7" w:tplc="52E2189C" w:tentative="1">
      <w:start w:val="1"/>
      <w:numFmt w:val="bullet"/>
      <w:lvlText w:val=""/>
      <w:lvlJc w:val="left"/>
      <w:pPr>
        <w:tabs>
          <w:tab w:val="num" w:pos="5760"/>
        </w:tabs>
        <w:ind w:left="5760" w:hanging="360"/>
      </w:pPr>
      <w:rPr>
        <w:rFonts w:ascii="Wingdings" w:hAnsi="Wingdings" w:hint="default"/>
      </w:rPr>
    </w:lvl>
    <w:lvl w:ilvl="8" w:tplc="98C079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340E80"/>
    <w:multiLevelType w:val="hybridMultilevel"/>
    <w:tmpl w:val="EC9A7C26"/>
    <w:lvl w:ilvl="0" w:tplc="24925CCA">
      <w:start w:val="1"/>
      <w:numFmt w:val="bullet"/>
      <w:lvlText w:val=""/>
      <w:lvlJc w:val="left"/>
      <w:pPr>
        <w:tabs>
          <w:tab w:val="num" w:pos="720"/>
        </w:tabs>
        <w:ind w:left="720" w:hanging="360"/>
      </w:pPr>
      <w:rPr>
        <w:rFonts w:ascii="Wingdings" w:hAnsi="Wingdings" w:hint="default"/>
      </w:rPr>
    </w:lvl>
    <w:lvl w:ilvl="1" w:tplc="22A459E8" w:tentative="1">
      <w:start w:val="1"/>
      <w:numFmt w:val="bullet"/>
      <w:lvlText w:val=""/>
      <w:lvlJc w:val="left"/>
      <w:pPr>
        <w:tabs>
          <w:tab w:val="num" w:pos="1440"/>
        </w:tabs>
        <w:ind w:left="1440" w:hanging="360"/>
      </w:pPr>
      <w:rPr>
        <w:rFonts w:ascii="Wingdings" w:hAnsi="Wingdings" w:hint="default"/>
      </w:rPr>
    </w:lvl>
    <w:lvl w:ilvl="2" w:tplc="6E90F280" w:tentative="1">
      <w:start w:val="1"/>
      <w:numFmt w:val="bullet"/>
      <w:lvlText w:val=""/>
      <w:lvlJc w:val="left"/>
      <w:pPr>
        <w:tabs>
          <w:tab w:val="num" w:pos="2160"/>
        </w:tabs>
        <w:ind w:left="2160" w:hanging="360"/>
      </w:pPr>
      <w:rPr>
        <w:rFonts w:ascii="Wingdings" w:hAnsi="Wingdings" w:hint="default"/>
      </w:rPr>
    </w:lvl>
    <w:lvl w:ilvl="3" w:tplc="9E4A068C" w:tentative="1">
      <w:start w:val="1"/>
      <w:numFmt w:val="bullet"/>
      <w:lvlText w:val=""/>
      <w:lvlJc w:val="left"/>
      <w:pPr>
        <w:tabs>
          <w:tab w:val="num" w:pos="2880"/>
        </w:tabs>
        <w:ind w:left="2880" w:hanging="360"/>
      </w:pPr>
      <w:rPr>
        <w:rFonts w:ascii="Wingdings" w:hAnsi="Wingdings" w:hint="default"/>
      </w:rPr>
    </w:lvl>
    <w:lvl w:ilvl="4" w:tplc="785CE7BA" w:tentative="1">
      <w:start w:val="1"/>
      <w:numFmt w:val="bullet"/>
      <w:lvlText w:val=""/>
      <w:lvlJc w:val="left"/>
      <w:pPr>
        <w:tabs>
          <w:tab w:val="num" w:pos="3600"/>
        </w:tabs>
        <w:ind w:left="3600" w:hanging="360"/>
      </w:pPr>
      <w:rPr>
        <w:rFonts w:ascii="Wingdings" w:hAnsi="Wingdings" w:hint="default"/>
      </w:rPr>
    </w:lvl>
    <w:lvl w:ilvl="5" w:tplc="71A8C3FC" w:tentative="1">
      <w:start w:val="1"/>
      <w:numFmt w:val="bullet"/>
      <w:lvlText w:val=""/>
      <w:lvlJc w:val="left"/>
      <w:pPr>
        <w:tabs>
          <w:tab w:val="num" w:pos="4320"/>
        </w:tabs>
        <w:ind w:left="4320" w:hanging="360"/>
      </w:pPr>
      <w:rPr>
        <w:rFonts w:ascii="Wingdings" w:hAnsi="Wingdings" w:hint="default"/>
      </w:rPr>
    </w:lvl>
    <w:lvl w:ilvl="6" w:tplc="4DE47B82" w:tentative="1">
      <w:start w:val="1"/>
      <w:numFmt w:val="bullet"/>
      <w:lvlText w:val=""/>
      <w:lvlJc w:val="left"/>
      <w:pPr>
        <w:tabs>
          <w:tab w:val="num" w:pos="5040"/>
        </w:tabs>
        <w:ind w:left="5040" w:hanging="360"/>
      </w:pPr>
      <w:rPr>
        <w:rFonts w:ascii="Wingdings" w:hAnsi="Wingdings" w:hint="default"/>
      </w:rPr>
    </w:lvl>
    <w:lvl w:ilvl="7" w:tplc="9DD0D632" w:tentative="1">
      <w:start w:val="1"/>
      <w:numFmt w:val="bullet"/>
      <w:lvlText w:val=""/>
      <w:lvlJc w:val="left"/>
      <w:pPr>
        <w:tabs>
          <w:tab w:val="num" w:pos="5760"/>
        </w:tabs>
        <w:ind w:left="5760" w:hanging="360"/>
      </w:pPr>
      <w:rPr>
        <w:rFonts w:ascii="Wingdings" w:hAnsi="Wingdings" w:hint="default"/>
      </w:rPr>
    </w:lvl>
    <w:lvl w:ilvl="8" w:tplc="F76A34E2" w:tentative="1">
      <w:start w:val="1"/>
      <w:numFmt w:val="bullet"/>
      <w:lvlText w:val=""/>
      <w:lvlJc w:val="left"/>
      <w:pPr>
        <w:tabs>
          <w:tab w:val="num" w:pos="6480"/>
        </w:tabs>
        <w:ind w:left="6480" w:hanging="360"/>
      </w:pPr>
      <w:rPr>
        <w:rFonts w:ascii="Wingdings" w:hAnsi="Wingdings" w:hint="default"/>
      </w:rPr>
    </w:lvl>
  </w:abstractNum>
  <w:num w:numId="1" w16cid:durableId="133527694">
    <w:abstractNumId w:val="1"/>
  </w:num>
  <w:num w:numId="2" w16cid:durableId="615061113">
    <w:abstractNumId w:val="4"/>
  </w:num>
  <w:num w:numId="3" w16cid:durableId="1980721411">
    <w:abstractNumId w:val="2"/>
  </w:num>
  <w:num w:numId="4" w16cid:durableId="780105088">
    <w:abstractNumId w:val="3"/>
  </w:num>
  <w:num w:numId="5" w16cid:durableId="157982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BD"/>
    <w:rsid w:val="00011DFB"/>
    <w:rsid w:val="00011EE4"/>
    <w:rsid w:val="0003557F"/>
    <w:rsid w:val="00062DD9"/>
    <w:rsid w:val="000708C0"/>
    <w:rsid w:val="000748EE"/>
    <w:rsid w:val="00096461"/>
    <w:rsid w:val="000A14B8"/>
    <w:rsid w:val="000C0222"/>
    <w:rsid w:val="000D2DE1"/>
    <w:rsid w:val="000F3BFF"/>
    <w:rsid w:val="0012116E"/>
    <w:rsid w:val="0012145E"/>
    <w:rsid w:val="001503A4"/>
    <w:rsid w:val="001719A3"/>
    <w:rsid w:val="001852F5"/>
    <w:rsid w:val="001B239F"/>
    <w:rsid w:val="001C1D75"/>
    <w:rsid w:val="001D7E55"/>
    <w:rsid w:val="001F3FF2"/>
    <w:rsid w:val="00233AA9"/>
    <w:rsid w:val="00237DAB"/>
    <w:rsid w:val="00253DE3"/>
    <w:rsid w:val="002608A8"/>
    <w:rsid w:val="0027182B"/>
    <w:rsid w:val="00292264"/>
    <w:rsid w:val="00293E6D"/>
    <w:rsid w:val="002953A3"/>
    <w:rsid w:val="002B1A29"/>
    <w:rsid w:val="002C07FD"/>
    <w:rsid w:val="002D3E98"/>
    <w:rsid w:val="002E2783"/>
    <w:rsid w:val="0030176C"/>
    <w:rsid w:val="00314D16"/>
    <w:rsid w:val="00336D3F"/>
    <w:rsid w:val="00340677"/>
    <w:rsid w:val="003433EA"/>
    <w:rsid w:val="00347210"/>
    <w:rsid w:val="00352B7F"/>
    <w:rsid w:val="00360DFD"/>
    <w:rsid w:val="00381604"/>
    <w:rsid w:val="003926C7"/>
    <w:rsid w:val="003B3697"/>
    <w:rsid w:val="003D4D2B"/>
    <w:rsid w:val="003E1FB5"/>
    <w:rsid w:val="003F1E25"/>
    <w:rsid w:val="004166FA"/>
    <w:rsid w:val="004406AA"/>
    <w:rsid w:val="004428E4"/>
    <w:rsid w:val="00454F7B"/>
    <w:rsid w:val="004860E1"/>
    <w:rsid w:val="004862EE"/>
    <w:rsid w:val="00496316"/>
    <w:rsid w:val="004B7D9B"/>
    <w:rsid w:val="004E0E2A"/>
    <w:rsid w:val="00501742"/>
    <w:rsid w:val="005824DD"/>
    <w:rsid w:val="005D349F"/>
    <w:rsid w:val="006278A9"/>
    <w:rsid w:val="00645040"/>
    <w:rsid w:val="00656ED9"/>
    <w:rsid w:val="006738E4"/>
    <w:rsid w:val="006C0A51"/>
    <w:rsid w:val="006C2C87"/>
    <w:rsid w:val="00704414"/>
    <w:rsid w:val="007053A6"/>
    <w:rsid w:val="007324C7"/>
    <w:rsid w:val="00735383"/>
    <w:rsid w:val="0074088A"/>
    <w:rsid w:val="007A2402"/>
    <w:rsid w:val="007A35CB"/>
    <w:rsid w:val="007F31BE"/>
    <w:rsid w:val="007F432F"/>
    <w:rsid w:val="00800C80"/>
    <w:rsid w:val="00802E20"/>
    <w:rsid w:val="00826BB5"/>
    <w:rsid w:val="00857C61"/>
    <w:rsid w:val="00864103"/>
    <w:rsid w:val="0088578A"/>
    <w:rsid w:val="0089619E"/>
    <w:rsid w:val="008A6A3E"/>
    <w:rsid w:val="00910E33"/>
    <w:rsid w:val="00914CF9"/>
    <w:rsid w:val="00927B82"/>
    <w:rsid w:val="00936F57"/>
    <w:rsid w:val="00953B15"/>
    <w:rsid w:val="00964048"/>
    <w:rsid w:val="00966653"/>
    <w:rsid w:val="00967C1D"/>
    <w:rsid w:val="00991906"/>
    <w:rsid w:val="009A3533"/>
    <w:rsid w:val="009A4799"/>
    <w:rsid w:val="009D0508"/>
    <w:rsid w:val="00A03C8B"/>
    <w:rsid w:val="00A04BA8"/>
    <w:rsid w:val="00A45D40"/>
    <w:rsid w:val="00A507AF"/>
    <w:rsid w:val="00A53E91"/>
    <w:rsid w:val="00AA4FCD"/>
    <w:rsid w:val="00AD1AAD"/>
    <w:rsid w:val="00B053D1"/>
    <w:rsid w:val="00B16BCA"/>
    <w:rsid w:val="00B20123"/>
    <w:rsid w:val="00B2684A"/>
    <w:rsid w:val="00B50EDB"/>
    <w:rsid w:val="00B5454C"/>
    <w:rsid w:val="00B63CA2"/>
    <w:rsid w:val="00B74EC4"/>
    <w:rsid w:val="00B950C9"/>
    <w:rsid w:val="00BA6882"/>
    <w:rsid w:val="00BB4225"/>
    <w:rsid w:val="00BC6EEA"/>
    <w:rsid w:val="00BE4EA0"/>
    <w:rsid w:val="00C27B7D"/>
    <w:rsid w:val="00C41463"/>
    <w:rsid w:val="00C574E0"/>
    <w:rsid w:val="00C649BD"/>
    <w:rsid w:val="00C81D6D"/>
    <w:rsid w:val="00C94B4A"/>
    <w:rsid w:val="00C95051"/>
    <w:rsid w:val="00C96BAC"/>
    <w:rsid w:val="00CA4AA2"/>
    <w:rsid w:val="00DA180B"/>
    <w:rsid w:val="00DC3D32"/>
    <w:rsid w:val="00DC5523"/>
    <w:rsid w:val="00DE6647"/>
    <w:rsid w:val="00DE78BF"/>
    <w:rsid w:val="00DF0C1C"/>
    <w:rsid w:val="00E14B87"/>
    <w:rsid w:val="00E16477"/>
    <w:rsid w:val="00E228D6"/>
    <w:rsid w:val="00E5595A"/>
    <w:rsid w:val="00E90E77"/>
    <w:rsid w:val="00E94962"/>
    <w:rsid w:val="00EB3553"/>
    <w:rsid w:val="00ED0527"/>
    <w:rsid w:val="00ED358E"/>
    <w:rsid w:val="00F06D8D"/>
    <w:rsid w:val="00F32A58"/>
    <w:rsid w:val="00F4221F"/>
    <w:rsid w:val="00F610D2"/>
    <w:rsid w:val="00F74B19"/>
    <w:rsid w:val="00F81207"/>
    <w:rsid w:val="00FA48CB"/>
    <w:rsid w:val="00FD6FEC"/>
    <w:rsid w:val="00FF35D5"/>
    <w:rsid w:val="00FF61AA"/>
    <w:rsid w:val="01CC8460"/>
    <w:rsid w:val="039F6279"/>
    <w:rsid w:val="0529000A"/>
    <w:rsid w:val="05D40CA4"/>
    <w:rsid w:val="062E819E"/>
    <w:rsid w:val="0D7A46A9"/>
    <w:rsid w:val="0F1C050C"/>
    <w:rsid w:val="12E65FBC"/>
    <w:rsid w:val="199774C4"/>
    <w:rsid w:val="19B0E28D"/>
    <w:rsid w:val="1CD1BADE"/>
    <w:rsid w:val="2453F068"/>
    <w:rsid w:val="25BB0CB6"/>
    <w:rsid w:val="3932582F"/>
    <w:rsid w:val="3B4C6496"/>
    <w:rsid w:val="3DAA67D1"/>
    <w:rsid w:val="4414E363"/>
    <w:rsid w:val="4F3759C7"/>
    <w:rsid w:val="5035C5D8"/>
    <w:rsid w:val="533FAB72"/>
    <w:rsid w:val="55567DD5"/>
    <w:rsid w:val="581B96A6"/>
    <w:rsid w:val="674BC210"/>
    <w:rsid w:val="68EA5EB6"/>
    <w:rsid w:val="6A7723D0"/>
    <w:rsid w:val="78A2B29B"/>
    <w:rsid w:val="7C6766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03CA"/>
  <w15:chartTrackingRefBased/>
  <w15:docId w15:val="{CBF759E6-3300-4974-AC39-303C1EFF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9BD"/>
    <w:rPr>
      <w:rFonts w:eastAsiaTheme="majorEastAsia" w:cstheme="majorBidi"/>
      <w:color w:val="272727" w:themeColor="text1" w:themeTint="D8"/>
    </w:rPr>
  </w:style>
  <w:style w:type="paragraph" w:styleId="Title">
    <w:name w:val="Title"/>
    <w:basedOn w:val="Normal"/>
    <w:next w:val="Normal"/>
    <w:link w:val="TitleChar"/>
    <w:uiPriority w:val="10"/>
    <w:qFormat/>
    <w:rsid w:val="00C6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9BD"/>
    <w:pPr>
      <w:spacing w:before="160"/>
      <w:jc w:val="center"/>
    </w:pPr>
    <w:rPr>
      <w:i/>
      <w:iCs/>
      <w:color w:val="404040" w:themeColor="text1" w:themeTint="BF"/>
    </w:rPr>
  </w:style>
  <w:style w:type="character" w:customStyle="1" w:styleId="QuoteChar">
    <w:name w:val="Quote Char"/>
    <w:basedOn w:val="DefaultParagraphFont"/>
    <w:link w:val="Quote"/>
    <w:uiPriority w:val="29"/>
    <w:rsid w:val="00C649BD"/>
    <w:rPr>
      <w:i/>
      <w:iCs/>
      <w:color w:val="404040" w:themeColor="text1" w:themeTint="BF"/>
    </w:rPr>
  </w:style>
  <w:style w:type="paragraph" w:styleId="ListParagraph">
    <w:name w:val="List Paragraph"/>
    <w:basedOn w:val="Normal"/>
    <w:uiPriority w:val="34"/>
    <w:qFormat/>
    <w:rsid w:val="00C649BD"/>
    <w:pPr>
      <w:ind w:left="720"/>
      <w:contextualSpacing/>
    </w:pPr>
  </w:style>
  <w:style w:type="character" w:styleId="IntenseEmphasis">
    <w:name w:val="Intense Emphasis"/>
    <w:basedOn w:val="DefaultParagraphFont"/>
    <w:uiPriority w:val="21"/>
    <w:qFormat/>
    <w:rsid w:val="00C649BD"/>
    <w:rPr>
      <w:i/>
      <w:iCs/>
      <w:color w:val="0F4761" w:themeColor="accent1" w:themeShade="BF"/>
    </w:rPr>
  </w:style>
  <w:style w:type="paragraph" w:styleId="IntenseQuote">
    <w:name w:val="Intense Quote"/>
    <w:basedOn w:val="Normal"/>
    <w:next w:val="Normal"/>
    <w:link w:val="IntenseQuoteChar"/>
    <w:uiPriority w:val="30"/>
    <w:qFormat/>
    <w:rsid w:val="00C64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BD"/>
    <w:rPr>
      <w:i/>
      <w:iCs/>
      <w:color w:val="0F4761" w:themeColor="accent1" w:themeShade="BF"/>
    </w:rPr>
  </w:style>
  <w:style w:type="character" w:styleId="IntenseReference">
    <w:name w:val="Intense Reference"/>
    <w:basedOn w:val="DefaultParagraphFont"/>
    <w:uiPriority w:val="32"/>
    <w:qFormat/>
    <w:rsid w:val="00C649BD"/>
    <w:rPr>
      <w:b/>
      <w:bCs/>
      <w:smallCaps/>
      <w:color w:val="0F4761" w:themeColor="accent1" w:themeShade="BF"/>
      <w:spacing w:val="5"/>
    </w:rPr>
  </w:style>
  <w:style w:type="paragraph" w:styleId="Revision">
    <w:name w:val="Revision"/>
    <w:hidden/>
    <w:uiPriority w:val="99"/>
    <w:semiHidden/>
    <w:rsid w:val="00062DD9"/>
    <w:pPr>
      <w:spacing w:after="0" w:line="240" w:lineRule="auto"/>
    </w:pPr>
  </w:style>
  <w:style w:type="character" w:styleId="CommentReference">
    <w:name w:val="annotation reference"/>
    <w:basedOn w:val="DefaultParagraphFont"/>
    <w:uiPriority w:val="99"/>
    <w:semiHidden/>
    <w:unhideWhenUsed/>
    <w:rsid w:val="002608A8"/>
    <w:rPr>
      <w:sz w:val="16"/>
      <w:szCs w:val="16"/>
    </w:rPr>
  </w:style>
  <w:style w:type="paragraph" w:styleId="CommentText">
    <w:name w:val="annotation text"/>
    <w:basedOn w:val="Normal"/>
    <w:link w:val="CommentTextChar"/>
    <w:uiPriority w:val="99"/>
    <w:unhideWhenUsed/>
    <w:rsid w:val="002608A8"/>
    <w:pPr>
      <w:spacing w:line="240" w:lineRule="auto"/>
    </w:pPr>
    <w:rPr>
      <w:sz w:val="20"/>
      <w:szCs w:val="20"/>
    </w:rPr>
  </w:style>
  <w:style w:type="character" w:customStyle="1" w:styleId="CommentTextChar">
    <w:name w:val="Comment Text Char"/>
    <w:basedOn w:val="DefaultParagraphFont"/>
    <w:link w:val="CommentText"/>
    <w:uiPriority w:val="99"/>
    <w:rsid w:val="002608A8"/>
    <w:rPr>
      <w:sz w:val="20"/>
      <w:szCs w:val="20"/>
    </w:rPr>
  </w:style>
  <w:style w:type="paragraph" w:styleId="CommentSubject">
    <w:name w:val="annotation subject"/>
    <w:basedOn w:val="CommentText"/>
    <w:next w:val="CommentText"/>
    <w:link w:val="CommentSubjectChar"/>
    <w:uiPriority w:val="99"/>
    <w:semiHidden/>
    <w:unhideWhenUsed/>
    <w:rsid w:val="002608A8"/>
    <w:rPr>
      <w:b/>
      <w:bCs/>
    </w:rPr>
  </w:style>
  <w:style w:type="character" w:customStyle="1" w:styleId="CommentSubjectChar">
    <w:name w:val="Comment Subject Char"/>
    <w:basedOn w:val="CommentTextChar"/>
    <w:link w:val="CommentSubject"/>
    <w:uiPriority w:val="99"/>
    <w:semiHidden/>
    <w:rsid w:val="002608A8"/>
    <w:rPr>
      <w:b/>
      <w:bCs/>
      <w:sz w:val="20"/>
      <w:szCs w:val="20"/>
    </w:rPr>
  </w:style>
  <w:style w:type="paragraph" w:styleId="BalloonText">
    <w:name w:val="Balloon Text"/>
    <w:basedOn w:val="Normal"/>
    <w:link w:val="BalloonTextChar"/>
    <w:uiPriority w:val="99"/>
    <w:semiHidden/>
    <w:unhideWhenUsed/>
    <w:rsid w:val="00A04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BA8"/>
    <w:rPr>
      <w:rFonts w:ascii="Segoe UI" w:hAnsi="Segoe UI" w:cs="Segoe UI"/>
      <w:sz w:val="18"/>
      <w:szCs w:val="18"/>
    </w:rPr>
  </w:style>
  <w:style w:type="character" w:styleId="Hyperlink">
    <w:name w:val="Hyperlink"/>
    <w:basedOn w:val="DefaultParagraphFont"/>
    <w:uiPriority w:val="99"/>
    <w:unhideWhenUsed/>
    <w:rsid w:val="00FF61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2735">
      <w:bodyDiv w:val="1"/>
      <w:marLeft w:val="0"/>
      <w:marRight w:val="0"/>
      <w:marTop w:val="0"/>
      <w:marBottom w:val="0"/>
      <w:divBdr>
        <w:top w:val="none" w:sz="0" w:space="0" w:color="auto"/>
        <w:left w:val="none" w:sz="0" w:space="0" w:color="auto"/>
        <w:bottom w:val="none" w:sz="0" w:space="0" w:color="auto"/>
        <w:right w:val="none" w:sz="0" w:space="0" w:color="auto"/>
      </w:divBdr>
      <w:divsChild>
        <w:div w:id="123357786">
          <w:marLeft w:val="446"/>
          <w:marRight w:val="0"/>
          <w:marTop w:val="240"/>
          <w:marBottom w:val="240"/>
          <w:divBdr>
            <w:top w:val="none" w:sz="0" w:space="0" w:color="auto"/>
            <w:left w:val="none" w:sz="0" w:space="0" w:color="auto"/>
            <w:bottom w:val="none" w:sz="0" w:space="0" w:color="auto"/>
            <w:right w:val="none" w:sz="0" w:space="0" w:color="auto"/>
          </w:divBdr>
        </w:div>
      </w:divsChild>
    </w:div>
    <w:div w:id="256519398">
      <w:bodyDiv w:val="1"/>
      <w:marLeft w:val="0"/>
      <w:marRight w:val="0"/>
      <w:marTop w:val="0"/>
      <w:marBottom w:val="0"/>
      <w:divBdr>
        <w:top w:val="none" w:sz="0" w:space="0" w:color="auto"/>
        <w:left w:val="none" w:sz="0" w:space="0" w:color="auto"/>
        <w:bottom w:val="none" w:sz="0" w:space="0" w:color="auto"/>
        <w:right w:val="none" w:sz="0" w:space="0" w:color="auto"/>
      </w:divBdr>
      <w:divsChild>
        <w:div w:id="2070028818">
          <w:marLeft w:val="446"/>
          <w:marRight w:val="0"/>
          <w:marTop w:val="240"/>
          <w:marBottom w:val="240"/>
          <w:divBdr>
            <w:top w:val="none" w:sz="0" w:space="0" w:color="auto"/>
            <w:left w:val="none" w:sz="0" w:space="0" w:color="auto"/>
            <w:bottom w:val="none" w:sz="0" w:space="0" w:color="auto"/>
            <w:right w:val="none" w:sz="0" w:space="0" w:color="auto"/>
          </w:divBdr>
        </w:div>
      </w:divsChild>
    </w:div>
    <w:div w:id="380977624">
      <w:bodyDiv w:val="1"/>
      <w:marLeft w:val="0"/>
      <w:marRight w:val="0"/>
      <w:marTop w:val="0"/>
      <w:marBottom w:val="0"/>
      <w:divBdr>
        <w:top w:val="none" w:sz="0" w:space="0" w:color="auto"/>
        <w:left w:val="none" w:sz="0" w:space="0" w:color="auto"/>
        <w:bottom w:val="none" w:sz="0" w:space="0" w:color="auto"/>
        <w:right w:val="none" w:sz="0" w:space="0" w:color="auto"/>
      </w:divBdr>
      <w:divsChild>
        <w:div w:id="543559732">
          <w:marLeft w:val="446"/>
          <w:marRight w:val="0"/>
          <w:marTop w:val="120"/>
          <w:marBottom w:val="120"/>
          <w:divBdr>
            <w:top w:val="none" w:sz="0" w:space="0" w:color="auto"/>
            <w:left w:val="none" w:sz="0" w:space="0" w:color="auto"/>
            <w:bottom w:val="none" w:sz="0" w:space="0" w:color="auto"/>
            <w:right w:val="none" w:sz="0" w:space="0" w:color="auto"/>
          </w:divBdr>
        </w:div>
      </w:divsChild>
    </w:div>
    <w:div w:id="535315248">
      <w:bodyDiv w:val="1"/>
      <w:marLeft w:val="0"/>
      <w:marRight w:val="0"/>
      <w:marTop w:val="0"/>
      <w:marBottom w:val="0"/>
      <w:divBdr>
        <w:top w:val="none" w:sz="0" w:space="0" w:color="auto"/>
        <w:left w:val="none" w:sz="0" w:space="0" w:color="auto"/>
        <w:bottom w:val="none" w:sz="0" w:space="0" w:color="auto"/>
        <w:right w:val="none" w:sz="0" w:space="0" w:color="auto"/>
      </w:divBdr>
      <w:divsChild>
        <w:div w:id="40518308">
          <w:marLeft w:val="1008"/>
          <w:marRight w:val="0"/>
          <w:marTop w:val="0"/>
          <w:marBottom w:val="120"/>
          <w:divBdr>
            <w:top w:val="none" w:sz="0" w:space="0" w:color="auto"/>
            <w:left w:val="none" w:sz="0" w:space="0" w:color="auto"/>
            <w:bottom w:val="none" w:sz="0" w:space="0" w:color="auto"/>
            <w:right w:val="none" w:sz="0" w:space="0" w:color="auto"/>
          </w:divBdr>
        </w:div>
      </w:divsChild>
    </w:div>
    <w:div w:id="560554945">
      <w:bodyDiv w:val="1"/>
      <w:marLeft w:val="0"/>
      <w:marRight w:val="0"/>
      <w:marTop w:val="0"/>
      <w:marBottom w:val="0"/>
      <w:divBdr>
        <w:top w:val="none" w:sz="0" w:space="0" w:color="auto"/>
        <w:left w:val="none" w:sz="0" w:space="0" w:color="auto"/>
        <w:bottom w:val="none" w:sz="0" w:space="0" w:color="auto"/>
        <w:right w:val="none" w:sz="0" w:space="0" w:color="auto"/>
      </w:divBdr>
    </w:div>
    <w:div w:id="849216541">
      <w:bodyDiv w:val="1"/>
      <w:marLeft w:val="0"/>
      <w:marRight w:val="0"/>
      <w:marTop w:val="0"/>
      <w:marBottom w:val="0"/>
      <w:divBdr>
        <w:top w:val="none" w:sz="0" w:space="0" w:color="auto"/>
        <w:left w:val="none" w:sz="0" w:space="0" w:color="auto"/>
        <w:bottom w:val="none" w:sz="0" w:space="0" w:color="auto"/>
        <w:right w:val="none" w:sz="0" w:space="0" w:color="auto"/>
      </w:divBdr>
    </w:div>
    <w:div w:id="2108889659">
      <w:bodyDiv w:val="1"/>
      <w:marLeft w:val="0"/>
      <w:marRight w:val="0"/>
      <w:marTop w:val="0"/>
      <w:marBottom w:val="0"/>
      <w:divBdr>
        <w:top w:val="none" w:sz="0" w:space="0" w:color="auto"/>
        <w:left w:val="none" w:sz="0" w:space="0" w:color="auto"/>
        <w:bottom w:val="none" w:sz="0" w:space="0" w:color="auto"/>
        <w:right w:val="none" w:sz="0" w:space="0" w:color="auto"/>
      </w:divBdr>
      <w:divsChild>
        <w:div w:id="1085807091">
          <w:marLeft w:val="446"/>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hraf.gr" TargetMode="External"/><Relationship Id="rId5" Type="http://schemas.openxmlformats.org/officeDocument/2006/relationships/styles" Target="styles.xml"/><Relationship Id="rId10" Type="http://schemas.openxmlformats.org/officeDocument/2006/relationships/hyperlink" Target="http://www.hradf.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ECF8DD62D78247A122AD8FBF76B107" ma:contentTypeVersion="15" ma:contentTypeDescription="Create a new document." ma:contentTypeScope="" ma:versionID="f7e0ce461c6cf2f5e823f6fa7a421515">
  <xsd:schema xmlns:xsd="http://www.w3.org/2001/XMLSchema" xmlns:xs="http://www.w3.org/2001/XMLSchema" xmlns:p="http://schemas.microsoft.com/office/2006/metadata/properties" xmlns:ns3="8f877b1c-58e9-4b23-9a75-d4c11328ae04" xmlns:ns4="c580cdf0-56a2-4ef0-a0f0-2fbd1745f564" targetNamespace="http://schemas.microsoft.com/office/2006/metadata/properties" ma:root="true" ma:fieldsID="22e79559431d0e0b77745e90e8ab810f" ns3:_="" ns4:_="">
    <xsd:import namespace="8f877b1c-58e9-4b23-9a75-d4c11328ae04"/>
    <xsd:import namespace="c580cdf0-56a2-4ef0-a0f0-2fbd1745f5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77b1c-58e9-4b23-9a75-d4c11328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df0-56a2-4ef0-a0f0-2fbd1745f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F065-9C33-421E-AEC5-C9954C414D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B8BDBE-CEF9-4840-9A9F-698A73D79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77b1c-58e9-4b23-9a75-d4c11328ae04"/>
    <ds:schemaRef ds:uri="c580cdf0-56a2-4ef0-a0f0-2fbd1745f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7119-428A-4BE4-9044-FAFE48C1C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Tsagaris</dc:creator>
  <cp:keywords/>
  <dc:description/>
  <cp:lastModifiedBy>Faidra Economou</cp:lastModifiedBy>
  <cp:revision>2</cp:revision>
  <dcterms:created xsi:type="dcterms:W3CDTF">2024-12-19T12:12:00Z</dcterms:created>
  <dcterms:modified xsi:type="dcterms:W3CDTF">2024-12-19T12:12:00Z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2024-12-11T10:20:50Z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4671527f-d509-4001-9855-af43b07f2e17</vt:lpwstr>
  </property>
  <property fmtid="{D5CDD505-2E9C-101B-9397-08002B2CF9AE}" pid="8" name="MSIP_Label_4a1cc303-c827-4bc8-8096-cfbe6c892f41_ContentBits">
    <vt:lpwstr>0</vt:lpwstr>
  </property>
  <property fmtid="{D5CDD505-2E9C-101B-9397-08002B2CF9AE}" pid="9" name="ContentTypeId">
    <vt:lpwstr>0x010100E4ECF8DD62D78247A122AD8FBF76B107</vt:lpwstr>
  </property>
  <property fmtid="{D5CDD505-2E9C-101B-9397-08002B2CF9AE}" pid="10" name="MediaServiceImageTags">
    <vt:lpwstr/>
  </property>
</Properties>
</file>