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806" w14:textId="77777777" w:rsidR="00407DF2" w:rsidRDefault="00407DF2"/>
    <w:p w14:paraId="125332DA" w14:textId="779E62EE" w:rsidR="00164119" w:rsidRPr="00407DF2" w:rsidRDefault="00164119">
      <w:pPr>
        <w:rPr>
          <w:rFonts w:ascii="Segoe UI" w:hAnsi="Segoe UI" w:cs="Segoe UI"/>
          <w:b/>
          <w:bCs/>
          <w:sz w:val="20"/>
          <w:szCs w:val="20"/>
        </w:rPr>
      </w:pPr>
      <w:r w:rsidRPr="00407DF2">
        <w:rPr>
          <w:rFonts w:ascii="Segoe UI" w:hAnsi="Segoe UI" w:cs="Segoe UI"/>
          <w:b/>
          <w:bCs/>
          <w:sz w:val="20"/>
          <w:szCs w:val="20"/>
        </w:rPr>
        <w:t xml:space="preserve">Athens, </w:t>
      </w:r>
      <w:r w:rsidR="0056571B">
        <w:rPr>
          <w:rFonts w:ascii="Segoe UI" w:hAnsi="Segoe UI" w:cs="Segoe UI"/>
          <w:b/>
          <w:bCs/>
          <w:sz w:val="20"/>
          <w:szCs w:val="20"/>
        </w:rPr>
        <w:t>June 2</w:t>
      </w:r>
      <w:r w:rsidRPr="00407DF2">
        <w:rPr>
          <w:rFonts w:ascii="Segoe UI" w:hAnsi="Segoe UI" w:cs="Segoe UI"/>
          <w:b/>
          <w:bCs/>
          <w:sz w:val="20"/>
          <w:szCs w:val="20"/>
        </w:rPr>
        <w:t>0, 2025</w:t>
      </w:r>
    </w:p>
    <w:p w14:paraId="4B8E824F" w14:textId="77777777" w:rsidR="00407DF2" w:rsidRDefault="00407DF2" w:rsidP="00164119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724FD2C2" w14:textId="3AEC82CD" w:rsidR="00164119" w:rsidRPr="00407DF2" w:rsidRDefault="0056571B" w:rsidP="00164119">
      <w:pPr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Growthfund:</w:t>
      </w:r>
      <w:r w:rsidR="008E5932">
        <w:rPr>
          <w:rFonts w:ascii="Segoe UI" w:hAnsi="Segoe UI" w:cs="Segoe UI"/>
          <w:b/>
          <w:bCs/>
          <w:sz w:val="20"/>
          <w:szCs w:val="20"/>
        </w:rPr>
        <w:t xml:space="preserve"> Five (5)</w:t>
      </w:r>
      <w:r>
        <w:rPr>
          <w:rFonts w:ascii="Segoe UI" w:hAnsi="Segoe UI" w:cs="Segoe UI"/>
          <w:b/>
          <w:bCs/>
          <w:sz w:val="20"/>
          <w:szCs w:val="20"/>
        </w:rPr>
        <w:t xml:space="preserve"> offers</w:t>
      </w:r>
      <w:r w:rsidR="00164119" w:rsidRPr="00407DF2">
        <w:rPr>
          <w:rFonts w:ascii="Segoe UI" w:hAnsi="Segoe UI" w:cs="Segoe UI"/>
          <w:b/>
          <w:bCs/>
          <w:sz w:val="20"/>
          <w:szCs w:val="20"/>
        </w:rPr>
        <w:t xml:space="preserve"> for the development of </w:t>
      </w:r>
      <w:r>
        <w:rPr>
          <w:rFonts w:ascii="Segoe UI" w:hAnsi="Segoe UI" w:cs="Segoe UI"/>
          <w:b/>
          <w:bCs/>
          <w:sz w:val="20"/>
          <w:szCs w:val="20"/>
        </w:rPr>
        <w:t xml:space="preserve">Lavrio Port Authority </w:t>
      </w:r>
      <w:r w:rsidR="00F77553">
        <w:rPr>
          <w:rFonts w:ascii="Segoe UI" w:hAnsi="Segoe UI" w:cs="Segoe UI"/>
          <w:b/>
          <w:bCs/>
          <w:sz w:val="20"/>
          <w:szCs w:val="20"/>
        </w:rPr>
        <w:t>S.A.</w:t>
      </w:r>
    </w:p>
    <w:p w14:paraId="74C54B35" w14:textId="65EB7827" w:rsidR="003A4454" w:rsidRPr="00264469" w:rsidRDefault="00264469" w:rsidP="003A4454">
      <w:pPr>
        <w:jc w:val="both"/>
        <w:rPr>
          <w:rFonts w:ascii="Segoe UI" w:hAnsi="Segoe UI" w:cs="Segoe UI"/>
          <w:sz w:val="20"/>
          <w:szCs w:val="20"/>
        </w:rPr>
      </w:pPr>
      <w:r w:rsidRPr="00264469">
        <w:rPr>
          <w:rFonts w:ascii="Segoe UI" w:hAnsi="Segoe UI" w:cs="Segoe UI"/>
          <w:sz w:val="20"/>
          <w:szCs w:val="20"/>
        </w:rPr>
        <w:t xml:space="preserve">Growthfund announces that </w:t>
      </w:r>
      <w:r w:rsidR="00F856F6">
        <w:rPr>
          <w:rFonts w:ascii="Segoe UI" w:hAnsi="Segoe UI" w:cs="Segoe UI"/>
          <w:sz w:val="20"/>
          <w:szCs w:val="20"/>
        </w:rPr>
        <w:t>five (5)</w:t>
      </w:r>
      <w:r w:rsidR="00117CF9">
        <w:rPr>
          <w:rFonts w:ascii="Segoe UI" w:hAnsi="Segoe UI" w:cs="Segoe UI"/>
          <w:sz w:val="20"/>
          <w:szCs w:val="20"/>
        </w:rPr>
        <w:t xml:space="preserve"> investment schemes submitted</w:t>
      </w:r>
      <w:r w:rsidR="00816490">
        <w:rPr>
          <w:rFonts w:ascii="Segoe UI" w:hAnsi="Segoe UI" w:cs="Segoe UI"/>
          <w:sz w:val="20"/>
          <w:szCs w:val="20"/>
        </w:rPr>
        <w:t xml:space="preserve"> binding</w:t>
      </w:r>
      <w:r w:rsidR="00117CF9">
        <w:rPr>
          <w:rFonts w:ascii="Segoe UI" w:hAnsi="Segoe UI" w:cs="Segoe UI"/>
          <w:sz w:val="20"/>
          <w:szCs w:val="20"/>
        </w:rPr>
        <w:t xml:space="preserve"> </w:t>
      </w:r>
      <w:r w:rsidRPr="00264469">
        <w:rPr>
          <w:rFonts w:ascii="Segoe UI" w:hAnsi="Segoe UI" w:cs="Segoe UI"/>
          <w:sz w:val="20"/>
          <w:szCs w:val="20"/>
        </w:rPr>
        <w:t xml:space="preserve">offers </w:t>
      </w:r>
      <w:r w:rsidR="00117CF9">
        <w:rPr>
          <w:rFonts w:ascii="Segoe UI" w:hAnsi="Segoe UI" w:cs="Segoe UI"/>
          <w:sz w:val="20"/>
          <w:szCs w:val="20"/>
        </w:rPr>
        <w:t>in</w:t>
      </w:r>
      <w:r w:rsidRPr="00264469">
        <w:rPr>
          <w:rFonts w:ascii="Segoe UI" w:hAnsi="Segoe UI" w:cs="Segoe UI"/>
          <w:sz w:val="20"/>
          <w:szCs w:val="20"/>
        </w:rPr>
        <w:t xml:space="preserve"> the international tender for the </w:t>
      </w:r>
      <w:r w:rsidR="00F312F9" w:rsidRPr="00264469">
        <w:rPr>
          <w:rFonts w:ascii="Segoe UI" w:hAnsi="Segoe UI" w:cs="Segoe UI"/>
          <w:sz w:val="20"/>
          <w:szCs w:val="20"/>
        </w:rPr>
        <w:t>acquisition of a majority stake (51%)</w:t>
      </w:r>
      <w:r w:rsidR="00F312F9">
        <w:rPr>
          <w:rFonts w:ascii="Segoe UI" w:hAnsi="Segoe UI" w:cs="Segoe UI"/>
          <w:sz w:val="20"/>
          <w:szCs w:val="20"/>
        </w:rPr>
        <w:t xml:space="preserve"> </w:t>
      </w:r>
      <w:r w:rsidR="003A4454" w:rsidRPr="00264469">
        <w:rPr>
          <w:rFonts w:ascii="Segoe UI" w:hAnsi="Segoe UI" w:cs="Segoe UI"/>
          <w:sz w:val="20"/>
          <w:szCs w:val="20"/>
        </w:rPr>
        <w:t>in the share capital</w:t>
      </w:r>
      <w:r w:rsidR="003A4454" w:rsidRPr="007F5931">
        <w:rPr>
          <w:rFonts w:ascii="Segoe UI" w:hAnsi="Segoe UI" w:cs="Segoe UI"/>
          <w:sz w:val="20"/>
          <w:szCs w:val="20"/>
        </w:rPr>
        <w:t xml:space="preserve"> </w:t>
      </w:r>
      <w:r w:rsidR="003A4454" w:rsidRPr="00264469">
        <w:rPr>
          <w:rFonts w:ascii="Segoe UI" w:hAnsi="Segoe UI" w:cs="Segoe UI"/>
          <w:sz w:val="20"/>
          <w:szCs w:val="20"/>
        </w:rPr>
        <w:t>of</w:t>
      </w:r>
      <w:r w:rsidR="003A4454" w:rsidRPr="007C5213">
        <w:rPr>
          <w:rFonts w:ascii="Segoe UI" w:hAnsi="Segoe UI" w:cs="Segoe UI"/>
          <w:sz w:val="20"/>
          <w:szCs w:val="20"/>
        </w:rPr>
        <w:t xml:space="preserve"> </w:t>
      </w:r>
      <w:r w:rsidR="003A4454">
        <w:rPr>
          <w:rFonts w:ascii="Segoe UI" w:hAnsi="Segoe UI" w:cs="Segoe UI"/>
          <w:sz w:val="20"/>
          <w:szCs w:val="20"/>
        </w:rPr>
        <w:t>the</w:t>
      </w:r>
      <w:r w:rsidR="003A4454" w:rsidRPr="00264469">
        <w:rPr>
          <w:rFonts w:ascii="Segoe UI" w:hAnsi="Segoe UI" w:cs="Segoe UI"/>
          <w:sz w:val="20"/>
          <w:szCs w:val="20"/>
        </w:rPr>
        <w:t xml:space="preserve"> </w:t>
      </w:r>
      <w:r w:rsidR="003A4454">
        <w:rPr>
          <w:rFonts w:ascii="Segoe UI" w:hAnsi="Segoe UI" w:cs="Segoe UI"/>
          <w:sz w:val="20"/>
          <w:szCs w:val="20"/>
        </w:rPr>
        <w:t>company “</w:t>
      </w:r>
      <w:r w:rsidR="003A4454" w:rsidRPr="00264469">
        <w:rPr>
          <w:rFonts w:ascii="Segoe UI" w:hAnsi="Segoe UI" w:cs="Segoe UI"/>
          <w:sz w:val="20"/>
          <w:szCs w:val="20"/>
        </w:rPr>
        <w:t>Lavrio Port Authority S.A.</w:t>
      </w:r>
      <w:r w:rsidR="003A4454">
        <w:rPr>
          <w:rFonts w:ascii="Segoe UI" w:hAnsi="Segoe UI" w:cs="Segoe UI"/>
          <w:sz w:val="20"/>
          <w:szCs w:val="20"/>
        </w:rPr>
        <w:t>”</w:t>
      </w:r>
      <w:r w:rsidR="003A4454" w:rsidRPr="00264469">
        <w:rPr>
          <w:rFonts w:ascii="Segoe UI" w:hAnsi="Segoe UI" w:cs="Segoe UI"/>
          <w:sz w:val="20"/>
          <w:szCs w:val="20"/>
        </w:rPr>
        <w:t xml:space="preserve"> (LPA S.A.)</w:t>
      </w:r>
      <w:r w:rsidR="003A4454">
        <w:rPr>
          <w:rFonts w:ascii="Segoe UI" w:hAnsi="Segoe UI" w:cs="Segoe UI"/>
          <w:sz w:val="20"/>
          <w:szCs w:val="20"/>
        </w:rPr>
        <w:t>.</w:t>
      </w:r>
    </w:p>
    <w:p w14:paraId="11BFA81A" w14:textId="1A2DBE3A" w:rsidR="00043874" w:rsidRPr="00043874" w:rsidRDefault="00043874" w:rsidP="003A4454">
      <w:pPr>
        <w:jc w:val="both"/>
        <w:rPr>
          <w:rFonts w:ascii="Segoe UI" w:hAnsi="Segoe UI" w:cs="Segoe UI"/>
          <w:sz w:val="20"/>
          <w:szCs w:val="20"/>
        </w:rPr>
      </w:pPr>
      <w:r w:rsidRPr="00043874">
        <w:rPr>
          <w:rFonts w:ascii="Segoe UI" w:hAnsi="Segoe UI" w:cs="Segoe UI"/>
          <w:sz w:val="20"/>
          <w:szCs w:val="20"/>
        </w:rPr>
        <w:t xml:space="preserve">Offers were submitted by the following investment schemes (in alphabetical order): </w:t>
      </w:r>
      <w:r w:rsidR="003A4454">
        <w:rPr>
          <w:rFonts w:ascii="Segoe UI" w:hAnsi="Segoe UI" w:cs="Segoe UI"/>
          <w:sz w:val="20"/>
          <w:szCs w:val="20"/>
        </w:rPr>
        <w:t xml:space="preserve"> </w:t>
      </w:r>
    </w:p>
    <w:p w14:paraId="03A6B599" w14:textId="2AE5B10D" w:rsidR="00CC3EE4" w:rsidRPr="00B1675F" w:rsidRDefault="00CC3EE4" w:rsidP="00CC3EE4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B1675F">
        <w:rPr>
          <w:rFonts w:ascii="Segoe UI" w:hAnsi="Segoe UI" w:cs="Segoe UI"/>
          <w:sz w:val="20"/>
          <w:szCs w:val="20"/>
        </w:rPr>
        <w:t xml:space="preserve">Consortium GEK TERNA S.A. </w:t>
      </w:r>
      <w:r w:rsidR="00816490">
        <w:rPr>
          <w:rFonts w:ascii="Segoe UI" w:hAnsi="Segoe UI" w:cs="Segoe UI"/>
          <w:sz w:val="20"/>
          <w:szCs w:val="20"/>
        </w:rPr>
        <w:t>– C</w:t>
      </w:r>
      <w:r w:rsidRPr="00B1675F">
        <w:rPr>
          <w:rFonts w:ascii="Segoe UI" w:hAnsi="Segoe UI" w:cs="Segoe UI"/>
          <w:sz w:val="20"/>
          <w:szCs w:val="20"/>
        </w:rPr>
        <w:t>ELESTYAL</w:t>
      </w:r>
      <w:r w:rsidR="00816490">
        <w:rPr>
          <w:rFonts w:ascii="Segoe UI" w:hAnsi="Segoe UI" w:cs="Segoe UI"/>
          <w:sz w:val="20"/>
          <w:szCs w:val="20"/>
        </w:rPr>
        <w:t>.</w:t>
      </w:r>
    </w:p>
    <w:p w14:paraId="3C187A62" w14:textId="77777777" w:rsidR="00CC3EE4" w:rsidRPr="00B1675F" w:rsidRDefault="00CC3EE4" w:rsidP="00CC3EE4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B1675F">
        <w:rPr>
          <w:rFonts w:ascii="Segoe UI" w:hAnsi="Segoe UI" w:cs="Segoe UI"/>
          <w:sz w:val="20"/>
          <w:szCs w:val="20"/>
        </w:rPr>
        <w:t>Consortium INTERKAT S.A. – BEAUFORT SEA SHIPPING CORPORATION – NEWSPHONE HELLAS S.A.</w:t>
      </w:r>
    </w:p>
    <w:p w14:paraId="4FCFE5F7" w14:textId="48C6184A" w:rsidR="00CC3EE4" w:rsidRPr="00B1675F" w:rsidRDefault="00CC3EE4" w:rsidP="00CC3EE4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B1675F">
        <w:rPr>
          <w:rFonts w:ascii="Segoe UI" w:hAnsi="Segoe UI" w:cs="Segoe UI"/>
          <w:sz w:val="20"/>
          <w:szCs w:val="20"/>
        </w:rPr>
        <w:t>Consortium OLYMPIC MARINE S.A. – CRUISE TERMINAL INVESTMENT LIMITED SARL</w:t>
      </w:r>
      <w:r w:rsidR="00816490">
        <w:rPr>
          <w:rFonts w:ascii="Segoe UI" w:hAnsi="Segoe UI" w:cs="Segoe UI"/>
          <w:sz w:val="20"/>
          <w:szCs w:val="20"/>
        </w:rPr>
        <w:t>.</w:t>
      </w:r>
    </w:p>
    <w:p w14:paraId="73446B44" w14:textId="1489E3E2" w:rsidR="00B751ED" w:rsidRPr="00B1675F" w:rsidRDefault="00762488" w:rsidP="00B751ED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762488">
        <w:rPr>
          <w:rFonts w:ascii="Segoe UI" w:hAnsi="Segoe UI" w:cs="Segoe UI"/>
          <w:sz w:val="20"/>
          <w:szCs w:val="20"/>
        </w:rPr>
        <w:t>ISRAEL SHIPYARDS INDUSTRIES LTD</w:t>
      </w:r>
      <w:r>
        <w:rPr>
          <w:rFonts w:ascii="Segoe UI" w:hAnsi="Segoe UI" w:cs="Segoe UI"/>
          <w:sz w:val="20"/>
          <w:szCs w:val="20"/>
        </w:rPr>
        <w:t>.</w:t>
      </w:r>
    </w:p>
    <w:p w14:paraId="75B62066" w14:textId="5867E2B9" w:rsidR="00CC3EE4" w:rsidRPr="00762488" w:rsidRDefault="00762488" w:rsidP="00CC3EE4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B1675F">
        <w:rPr>
          <w:rFonts w:ascii="Segoe UI" w:hAnsi="Segoe UI" w:cs="Segoe UI"/>
          <w:sz w:val="20"/>
          <w:szCs w:val="20"/>
        </w:rPr>
        <w:t>JET PLAN SHIPPING Co LTD</w:t>
      </w:r>
      <w:r w:rsidR="00816490">
        <w:rPr>
          <w:rFonts w:ascii="Segoe UI" w:hAnsi="Segoe UI" w:cs="Segoe UI"/>
          <w:sz w:val="20"/>
          <w:szCs w:val="20"/>
        </w:rPr>
        <w:t>.</w:t>
      </w:r>
    </w:p>
    <w:p w14:paraId="55BB7F2B" w14:textId="77777777" w:rsidR="00CC3EE4" w:rsidRPr="00762488" w:rsidRDefault="00CC3EE4" w:rsidP="00CC3EE4">
      <w:pPr>
        <w:pStyle w:val="ListParagraph"/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A4F80CC" w14:textId="5D02991B" w:rsidR="00417752" w:rsidRPr="00417752" w:rsidRDefault="00417752" w:rsidP="00417752">
      <w:pPr>
        <w:jc w:val="both"/>
        <w:rPr>
          <w:rFonts w:ascii="Segoe UI" w:hAnsi="Segoe UI" w:cs="Segoe UI"/>
          <w:sz w:val="20"/>
          <w:szCs w:val="20"/>
        </w:rPr>
      </w:pPr>
      <w:r w:rsidRPr="00417752">
        <w:rPr>
          <w:rFonts w:ascii="Segoe UI" w:hAnsi="Segoe UI" w:cs="Segoe UI"/>
          <w:sz w:val="20"/>
          <w:szCs w:val="20"/>
        </w:rPr>
        <w:t xml:space="preserve">The submission of </w:t>
      </w:r>
      <w:r w:rsidR="00F8150A">
        <w:rPr>
          <w:rFonts w:ascii="Segoe UI" w:hAnsi="Segoe UI" w:cs="Segoe UI"/>
          <w:sz w:val="20"/>
          <w:szCs w:val="20"/>
        </w:rPr>
        <w:t xml:space="preserve">these </w:t>
      </w:r>
      <w:r w:rsidRPr="00417752">
        <w:rPr>
          <w:rFonts w:ascii="Segoe UI" w:hAnsi="Segoe UI" w:cs="Segoe UI"/>
          <w:sz w:val="20"/>
          <w:szCs w:val="20"/>
        </w:rPr>
        <w:t xml:space="preserve">offers marks </w:t>
      </w:r>
      <w:r w:rsidR="00F8150A">
        <w:rPr>
          <w:rFonts w:ascii="Segoe UI" w:hAnsi="Segoe UI" w:cs="Segoe UI"/>
          <w:sz w:val="20"/>
          <w:szCs w:val="20"/>
        </w:rPr>
        <w:t xml:space="preserve">a </w:t>
      </w:r>
      <w:r w:rsidR="008975AF">
        <w:rPr>
          <w:rFonts w:ascii="Segoe UI" w:hAnsi="Segoe UI" w:cs="Segoe UI"/>
          <w:sz w:val="20"/>
          <w:szCs w:val="20"/>
        </w:rPr>
        <w:t>significant</w:t>
      </w:r>
      <w:r w:rsidRPr="00417752">
        <w:rPr>
          <w:rFonts w:ascii="Segoe UI" w:hAnsi="Segoe UI" w:cs="Segoe UI"/>
          <w:sz w:val="20"/>
          <w:szCs w:val="20"/>
        </w:rPr>
        <w:t xml:space="preserve"> milestone in the </w:t>
      </w:r>
      <w:r w:rsidR="00F8150A">
        <w:rPr>
          <w:rFonts w:ascii="Segoe UI" w:hAnsi="Segoe UI" w:cs="Segoe UI"/>
          <w:sz w:val="20"/>
          <w:szCs w:val="20"/>
        </w:rPr>
        <w:t xml:space="preserve">tender process for the </w:t>
      </w:r>
      <w:r w:rsidRPr="00417752">
        <w:rPr>
          <w:rFonts w:ascii="Segoe UI" w:hAnsi="Segoe UI" w:cs="Segoe UI"/>
          <w:sz w:val="20"/>
          <w:szCs w:val="20"/>
        </w:rPr>
        <w:t>development of the third-largest port in Attica, aiming to enhance its growth potential and upgrade its infrastructure</w:t>
      </w:r>
      <w:r w:rsidR="00F8150A">
        <w:rPr>
          <w:rFonts w:ascii="Segoe UI" w:hAnsi="Segoe UI" w:cs="Segoe UI"/>
          <w:sz w:val="20"/>
          <w:szCs w:val="20"/>
        </w:rPr>
        <w:t>, with multiple benefits</w:t>
      </w:r>
      <w:r w:rsidRPr="00417752">
        <w:rPr>
          <w:rFonts w:ascii="Segoe UI" w:hAnsi="Segoe UI" w:cs="Segoe UI"/>
          <w:sz w:val="20"/>
          <w:szCs w:val="20"/>
        </w:rPr>
        <w:t xml:space="preserve"> </w:t>
      </w:r>
      <w:r w:rsidR="00F8150A">
        <w:rPr>
          <w:rFonts w:ascii="Segoe UI" w:hAnsi="Segoe UI" w:cs="Segoe UI"/>
          <w:sz w:val="20"/>
          <w:szCs w:val="20"/>
        </w:rPr>
        <w:t>for the</w:t>
      </w:r>
      <w:r w:rsidR="000150F9">
        <w:rPr>
          <w:rFonts w:ascii="Segoe UI" w:hAnsi="Segoe UI" w:cs="Segoe UI"/>
          <w:sz w:val="20"/>
          <w:szCs w:val="20"/>
        </w:rPr>
        <w:t xml:space="preserve"> </w:t>
      </w:r>
      <w:r w:rsidR="00F8150A">
        <w:rPr>
          <w:rFonts w:ascii="Segoe UI" w:hAnsi="Segoe UI" w:cs="Segoe UI"/>
          <w:sz w:val="20"/>
          <w:szCs w:val="20"/>
        </w:rPr>
        <w:t xml:space="preserve">local community and the </w:t>
      </w:r>
      <w:r w:rsidRPr="00417752">
        <w:rPr>
          <w:rFonts w:ascii="Segoe UI" w:hAnsi="Segoe UI" w:cs="Segoe UI"/>
          <w:sz w:val="20"/>
          <w:szCs w:val="20"/>
        </w:rPr>
        <w:t>national economy.</w:t>
      </w:r>
    </w:p>
    <w:p w14:paraId="7AEC26E3" w14:textId="0A2860DD" w:rsidR="00A02E86" w:rsidRPr="00F55578" w:rsidRDefault="00F77553" w:rsidP="00A02E86">
      <w:pPr>
        <w:jc w:val="both"/>
        <w:rPr>
          <w:rFonts w:ascii="Segoe UI" w:hAnsi="Segoe UI" w:cs="Segoe UI"/>
          <w:sz w:val="20"/>
          <w:szCs w:val="20"/>
        </w:rPr>
      </w:pPr>
      <w:r w:rsidRPr="00B94AF0">
        <w:rPr>
          <w:rFonts w:ascii="Segoe UI" w:hAnsi="Segoe UI" w:cs="Segoe UI"/>
          <w:sz w:val="20"/>
          <w:szCs w:val="20"/>
        </w:rPr>
        <w:t xml:space="preserve">The evaluation </w:t>
      </w:r>
      <w:r w:rsidR="00E0350E">
        <w:rPr>
          <w:rFonts w:ascii="Segoe UI" w:hAnsi="Segoe UI" w:cs="Segoe UI"/>
          <w:sz w:val="20"/>
          <w:szCs w:val="20"/>
        </w:rPr>
        <w:t xml:space="preserve">process </w:t>
      </w:r>
      <w:r w:rsidRPr="00B94AF0">
        <w:rPr>
          <w:rFonts w:ascii="Segoe UI" w:hAnsi="Segoe UI" w:cs="Segoe UI"/>
          <w:sz w:val="20"/>
          <w:szCs w:val="20"/>
        </w:rPr>
        <w:t xml:space="preserve">will </w:t>
      </w:r>
      <w:r w:rsidR="006E6BCE">
        <w:rPr>
          <w:rFonts w:ascii="Segoe UI" w:hAnsi="Segoe UI" w:cs="Segoe UI"/>
          <w:sz w:val="20"/>
          <w:szCs w:val="20"/>
        </w:rPr>
        <w:t xml:space="preserve">commence </w:t>
      </w:r>
      <w:r w:rsidRPr="00B94AF0">
        <w:rPr>
          <w:rFonts w:ascii="Segoe UI" w:hAnsi="Segoe UI" w:cs="Segoe UI"/>
          <w:sz w:val="20"/>
          <w:szCs w:val="20"/>
        </w:rPr>
        <w:t>immediately</w:t>
      </w:r>
      <w:r w:rsidR="005C1AB3">
        <w:rPr>
          <w:rFonts w:ascii="Segoe UI" w:hAnsi="Segoe UI" w:cs="Segoe UI"/>
          <w:sz w:val="20"/>
          <w:szCs w:val="20"/>
        </w:rPr>
        <w:t>,</w:t>
      </w:r>
      <w:r w:rsidRPr="00B94AF0">
        <w:rPr>
          <w:rFonts w:ascii="Segoe UI" w:hAnsi="Segoe UI" w:cs="Segoe UI"/>
          <w:sz w:val="20"/>
          <w:szCs w:val="20"/>
        </w:rPr>
        <w:t xml:space="preserve"> in accordance with the terms</w:t>
      </w:r>
      <w:r w:rsidR="00F8150A">
        <w:rPr>
          <w:rFonts w:ascii="Segoe UI" w:hAnsi="Segoe UI" w:cs="Segoe UI"/>
          <w:sz w:val="20"/>
          <w:szCs w:val="20"/>
        </w:rPr>
        <w:t xml:space="preserve"> set out in </w:t>
      </w:r>
      <w:r w:rsidRPr="00B94AF0">
        <w:rPr>
          <w:rFonts w:ascii="Segoe UI" w:hAnsi="Segoe UI" w:cs="Segoe UI"/>
          <w:sz w:val="20"/>
          <w:szCs w:val="20"/>
        </w:rPr>
        <w:t xml:space="preserve">the Request for Proposals. </w:t>
      </w:r>
      <w:r w:rsidR="00A02E86" w:rsidRPr="00F923D9">
        <w:rPr>
          <w:rFonts w:ascii="Segoe UI" w:hAnsi="Segoe UI" w:cs="Segoe UI"/>
          <w:sz w:val="20"/>
          <w:szCs w:val="20"/>
        </w:rPr>
        <w:t>The offers</w:t>
      </w:r>
      <w:r w:rsidR="00F8150A">
        <w:rPr>
          <w:rFonts w:ascii="Segoe UI" w:hAnsi="Segoe UI" w:cs="Segoe UI"/>
          <w:sz w:val="20"/>
          <w:szCs w:val="20"/>
        </w:rPr>
        <w:t xml:space="preserve"> of the investors</w:t>
      </w:r>
      <w:r w:rsidR="00A02E86" w:rsidRPr="00F923D9">
        <w:rPr>
          <w:rFonts w:ascii="Segoe UI" w:hAnsi="Segoe UI" w:cs="Segoe UI"/>
          <w:sz w:val="20"/>
          <w:szCs w:val="20"/>
        </w:rPr>
        <w:t xml:space="preserve"> </w:t>
      </w:r>
      <w:r w:rsidR="00F8150A">
        <w:rPr>
          <w:rFonts w:ascii="Segoe UI" w:hAnsi="Segoe UI" w:cs="Segoe UI"/>
          <w:sz w:val="20"/>
          <w:szCs w:val="20"/>
        </w:rPr>
        <w:t>that</w:t>
      </w:r>
      <w:r w:rsidR="00A02E86" w:rsidRPr="00F923D9">
        <w:rPr>
          <w:rFonts w:ascii="Segoe UI" w:hAnsi="Segoe UI" w:cs="Segoe UI"/>
          <w:sz w:val="20"/>
          <w:szCs w:val="20"/>
        </w:rPr>
        <w:t xml:space="preserve"> meet the tender requirements will be unsealed at a </w:t>
      </w:r>
      <w:r w:rsidR="00F8150A">
        <w:rPr>
          <w:rFonts w:ascii="Segoe UI" w:hAnsi="Segoe UI" w:cs="Segoe UI"/>
          <w:sz w:val="20"/>
          <w:szCs w:val="20"/>
        </w:rPr>
        <w:t>future</w:t>
      </w:r>
      <w:r w:rsidR="00A02E86" w:rsidRPr="00F923D9">
        <w:rPr>
          <w:rFonts w:ascii="Segoe UI" w:hAnsi="Segoe UI" w:cs="Segoe UI"/>
          <w:sz w:val="20"/>
          <w:szCs w:val="20"/>
        </w:rPr>
        <w:t xml:space="preserve"> meeting of Growthfund’s Board of Directors</w:t>
      </w:r>
      <w:r w:rsidR="005838C6">
        <w:rPr>
          <w:rFonts w:ascii="Segoe UI" w:hAnsi="Segoe UI" w:cs="Segoe UI"/>
          <w:sz w:val="20"/>
          <w:szCs w:val="20"/>
        </w:rPr>
        <w:t xml:space="preserve">, following all procedural requirements. </w:t>
      </w:r>
    </w:p>
    <w:p w14:paraId="775F8351" w14:textId="77777777" w:rsidR="00117CF9" w:rsidRDefault="00117CF9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bookmarkStart w:id="0" w:name="_Hlk144659686"/>
    </w:p>
    <w:p w14:paraId="00555A50" w14:textId="7591D9DA" w:rsidR="00407DF2" w:rsidRPr="00891803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For further information please contact: </w:t>
      </w:r>
    </w:p>
    <w:p w14:paraId="6576709F" w14:textId="77777777" w:rsidR="00407DF2" w:rsidRPr="00891803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>GROWTHFUND, Anthi Trokoudi, Chief Communications &amp; Sustainability Officer, +30 6932</w:t>
      </w:r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100053, </w:t>
      </w:r>
      <w:hyperlink r:id="rId7" w:history="1">
        <w:r w:rsidRPr="00E11E45">
          <w:rPr>
            <w:rStyle w:val="Hyperlink"/>
            <w:rFonts w:ascii="Segoe UI" w:hAnsi="Segoe UI" w:cs="Segoe UI"/>
            <w:b/>
            <w:bCs/>
            <w:i/>
            <w:iCs/>
            <w:sz w:val="16"/>
            <w:szCs w:val="16"/>
          </w:rPr>
          <w:t>A.Trokoudi@growthfund.gr</w:t>
        </w:r>
      </w:hyperlink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</w:p>
    <w:p w14:paraId="0BCB817F" w14:textId="77777777" w:rsidR="00407DF2" w:rsidRPr="0061661D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</w:rPr>
      </w:pPr>
      <w:r w:rsidRPr="00A44539">
        <w:rPr>
          <w:rFonts w:ascii="Segoe UI" w:hAnsi="Segoe UI" w:cs="Segoe UI"/>
          <w:b/>
          <w:bCs/>
          <w:i/>
          <w:iCs/>
          <w:sz w:val="16"/>
          <w:szCs w:val="16"/>
        </w:rPr>
        <w:t xml:space="preserve">SOCIALDOO, Konstantina Iliopoulou, Director of Corporate Relations, +30 6974 894411, </w:t>
      </w:r>
      <w:hyperlink r:id="rId8" w:history="1">
        <w:r w:rsidRPr="00E11E45">
          <w:rPr>
            <w:rStyle w:val="Hyperlink"/>
            <w:rFonts w:ascii="Segoe UI" w:hAnsi="Segoe UI" w:cs="Segoe UI"/>
            <w:b/>
            <w:bCs/>
            <w:i/>
            <w:iCs/>
            <w:sz w:val="16"/>
            <w:szCs w:val="16"/>
          </w:rPr>
          <w:t>kiliopoulou@socialdoo.gr</w:t>
        </w:r>
      </w:hyperlink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A44539">
        <w:rPr>
          <w:rFonts w:ascii="Segoe UI" w:hAnsi="Segoe UI" w:cs="Segoe UI"/>
          <w:b/>
          <w:bCs/>
          <w:i/>
          <w:iCs/>
          <w:sz w:val="16"/>
          <w:szCs w:val="16"/>
        </w:rPr>
        <w:t xml:space="preserve">    </w:t>
      </w:r>
      <w:bookmarkEnd w:id="0"/>
    </w:p>
    <w:p w14:paraId="7F411F29" w14:textId="77777777" w:rsidR="00407DF2" w:rsidRPr="00561DE1" w:rsidRDefault="00407DF2" w:rsidP="00164119">
      <w:pPr>
        <w:jc w:val="both"/>
      </w:pPr>
    </w:p>
    <w:p w14:paraId="3C52BA5C" w14:textId="3003BAC6" w:rsidR="00164119" w:rsidRPr="00164119" w:rsidRDefault="00164119" w:rsidP="00164119">
      <w:pPr>
        <w:jc w:val="both"/>
      </w:pPr>
    </w:p>
    <w:sectPr w:rsidR="00164119" w:rsidRPr="001641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715C" w14:textId="77777777" w:rsidR="00F3032B" w:rsidRDefault="00F3032B" w:rsidP="00407DF2">
      <w:pPr>
        <w:spacing w:after="0" w:line="240" w:lineRule="auto"/>
      </w:pPr>
      <w:r>
        <w:separator/>
      </w:r>
    </w:p>
  </w:endnote>
  <w:endnote w:type="continuationSeparator" w:id="0">
    <w:p w14:paraId="00355B13" w14:textId="77777777" w:rsidR="00F3032B" w:rsidRDefault="00F3032B" w:rsidP="0040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F71A" w14:textId="77777777" w:rsidR="00F3032B" w:rsidRDefault="00F3032B" w:rsidP="00407DF2">
      <w:pPr>
        <w:spacing w:after="0" w:line="240" w:lineRule="auto"/>
      </w:pPr>
      <w:r>
        <w:separator/>
      </w:r>
    </w:p>
  </w:footnote>
  <w:footnote w:type="continuationSeparator" w:id="0">
    <w:p w14:paraId="7C0E76D5" w14:textId="77777777" w:rsidR="00F3032B" w:rsidRDefault="00F3032B" w:rsidP="0040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3EA1" w14:textId="40D7F210" w:rsidR="00407DF2" w:rsidRDefault="00407DF2" w:rsidP="00407DF2">
    <w:pPr>
      <w:pStyle w:val="Header"/>
      <w:jc w:val="center"/>
    </w:pPr>
    <w:r>
      <w:rPr>
        <w:noProof/>
      </w:rPr>
      <w:drawing>
        <wp:inline distT="0" distB="0" distL="0" distR="0" wp14:anchorId="0BB67394" wp14:editId="6D0DADF8">
          <wp:extent cx="3663950" cy="780415"/>
          <wp:effectExtent l="0" t="0" r="0" b="635"/>
          <wp:docPr id="225167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8B0"/>
    <w:multiLevelType w:val="multilevel"/>
    <w:tmpl w:val="0AE4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23675"/>
    <w:multiLevelType w:val="multilevel"/>
    <w:tmpl w:val="CEBA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82ED9"/>
    <w:multiLevelType w:val="multilevel"/>
    <w:tmpl w:val="D31A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F5855"/>
    <w:multiLevelType w:val="hybridMultilevel"/>
    <w:tmpl w:val="83FE22F0"/>
    <w:lvl w:ilvl="0" w:tplc="D8AAA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47D6F"/>
    <w:multiLevelType w:val="hybridMultilevel"/>
    <w:tmpl w:val="CA10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413DB"/>
    <w:multiLevelType w:val="hybridMultilevel"/>
    <w:tmpl w:val="D0D6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78897">
    <w:abstractNumId w:val="5"/>
  </w:num>
  <w:num w:numId="2" w16cid:durableId="1868827776">
    <w:abstractNumId w:val="0"/>
  </w:num>
  <w:num w:numId="3" w16cid:durableId="96097898">
    <w:abstractNumId w:val="3"/>
  </w:num>
  <w:num w:numId="4" w16cid:durableId="469132767">
    <w:abstractNumId w:val="1"/>
  </w:num>
  <w:num w:numId="5" w16cid:durableId="878399006">
    <w:abstractNumId w:val="2"/>
  </w:num>
  <w:num w:numId="6" w16cid:durableId="174622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19"/>
    <w:rsid w:val="000150F9"/>
    <w:rsid w:val="00043874"/>
    <w:rsid w:val="00057430"/>
    <w:rsid w:val="00067D0A"/>
    <w:rsid w:val="000B4306"/>
    <w:rsid w:val="000B636E"/>
    <w:rsid w:val="000D64E9"/>
    <w:rsid w:val="000F0E3F"/>
    <w:rsid w:val="001005B9"/>
    <w:rsid w:val="0011621C"/>
    <w:rsid w:val="00117CF9"/>
    <w:rsid w:val="001556C7"/>
    <w:rsid w:val="00164119"/>
    <w:rsid w:val="001727FA"/>
    <w:rsid w:val="001C5BE6"/>
    <w:rsid w:val="001C72C7"/>
    <w:rsid w:val="00231D84"/>
    <w:rsid w:val="00264469"/>
    <w:rsid w:val="0028034A"/>
    <w:rsid w:val="0028749D"/>
    <w:rsid w:val="002D3858"/>
    <w:rsid w:val="003155EC"/>
    <w:rsid w:val="003319CD"/>
    <w:rsid w:val="00360F89"/>
    <w:rsid w:val="0038362B"/>
    <w:rsid w:val="00396717"/>
    <w:rsid w:val="003A4454"/>
    <w:rsid w:val="003F15D6"/>
    <w:rsid w:val="003F4474"/>
    <w:rsid w:val="00407DF2"/>
    <w:rsid w:val="004112FD"/>
    <w:rsid w:val="00417752"/>
    <w:rsid w:val="00450B8F"/>
    <w:rsid w:val="004574C3"/>
    <w:rsid w:val="004624A8"/>
    <w:rsid w:val="00465488"/>
    <w:rsid w:val="004C3BC3"/>
    <w:rsid w:val="004F1C12"/>
    <w:rsid w:val="00512A6D"/>
    <w:rsid w:val="00521240"/>
    <w:rsid w:val="005279C5"/>
    <w:rsid w:val="00535700"/>
    <w:rsid w:val="005465FF"/>
    <w:rsid w:val="00561DE1"/>
    <w:rsid w:val="0056571B"/>
    <w:rsid w:val="005838C6"/>
    <w:rsid w:val="005A73AE"/>
    <w:rsid w:val="005C1AB3"/>
    <w:rsid w:val="006469C1"/>
    <w:rsid w:val="00671B6A"/>
    <w:rsid w:val="006E4CEE"/>
    <w:rsid w:val="006E6BCE"/>
    <w:rsid w:val="007049AB"/>
    <w:rsid w:val="007135F0"/>
    <w:rsid w:val="007309A3"/>
    <w:rsid w:val="00753E17"/>
    <w:rsid w:val="00762488"/>
    <w:rsid w:val="0077273C"/>
    <w:rsid w:val="00785E6F"/>
    <w:rsid w:val="007C5213"/>
    <w:rsid w:val="00800957"/>
    <w:rsid w:val="00816490"/>
    <w:rsid w:val="0086107E"/>
    <w:rsid w:val="0087522E"/>
    <w:rsid w:val="00896776"/>
    <w:rsid w:val="008975AF"/>
    <w:rsid w:val="008A378B"/>
    <w:rsid w:val="008B271F"/>
    <w:rsid w:val="008B5ED6"/>
    <w:rsid w:val="008C799C"/>
    <w:rsid w:val="008E1E32"/>
    <w:rsid w:val="008E5932"/>
    <w:rsid w:val="0090048D"/>
    <w:rsid w:val="00904797"/>
    <w:rsid w:val="00926406"/>
    <w:rsid w:val="00955D6E"/>
    <w:rsid w:val="00963AB3"/>
    <w:rsid w:val="0096636E"/>
    <w:rsid w:val="009B44E3"/>
    <w:rsid w:val="00A02E86"/>
    <w:rsid w:val="00A03D12"/>
    <w:rsid w:val="00A110B5"/>
    <w:rsid w:val="00A24729"/>
    <w:rsid w:val="00AD70A1"/>
    <w:rsid w:val="00AE5113"/>
    <w:rsid w:val="00B1180D"/>
    <w:rsid w:val="00B1675F"/>
    <w:rsid w:val="00B325D4"/>
    <w:rsid w:val="00B435A3"/>
    <w:rsid w:val="00B751ED"/>
    <w:rsid w:val="00B85AFF"/>
    <w:rsid w:val="00B94AF0"/>
    <w:rsid w:val="00BC26F9"/>
    <w:rsid w:val="00C13643"/>
    <w:rsid w:val="00C27EFF"/>
    <w:rsid w:val="00CC3EE4"/>
    <w:rsid w:val="00CD48E3"/>
    <w:rsid w:val="00D06049"/>
    <w:rsid w:val="00D24390"/>
    <w:rsid w:val="00D26D49"/>
    <w:rsid w:val="00D3287C"/>
    <w:rsid w:val="00D45C13"/>
    <w:rsid w:val="00D46543"/>
    <w:rsid w:val="00D57CD4"/>
    <w:rsid w:val="00DA41D8"/>
    <w:rsid w:val="00DC1351"/>
    <w:rsid w:val="00E0350E"/>
    <w:rsid w:val="00E12AC0"/>
    <w:rsid w:val="00E93215"/>
    <w:rsid w:val="00E953DE"/>
    <w:rsid w:val="00EE5524"/>
    <w:rsid w:val="00F3032B"/>
    <w:rsid w:val="00F312F9"/>
    <w:rsid w:val="00F33D40"/>
    <w:rsid w:val="00F55578"/>
    <w:rsid w:val="00F77553"/>
    <w:rsid w:val="00F8150A"/>
    <w:rsid w:val="00F856F6"/>
    <w:rsid w:val="00F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72CA0"/>
  <w15:chartTrackingRefBased/>
  <w15:docId w15:val="{8414FEE4-D46E-466A-BB0D-F72C0D1A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119"/>
    <w:rPr>
      <w:i/>
      <w:iCs/>
      <w:color w:val="404040" w:themeColor="text1" w:themeTint="BF"/>
    </w:rPr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164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1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F2"/>
  </w:style>
  <w:style w:type="paragraph" w:styleId="Footer">
    <w:name w:val="footer"/>
    <w:basedOn w:val="Normal"/>
    <w:link w:val="FooterChar"/>
    <w:uiPriority w:val="99"/>
    <w:unhideWhenUsed/>
    <w:rsid w:val="00407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F2"/>
  </w:style>
  <w:style w:type="character" w:styleId="Hyperlink">
    <w:name w:val="Hyperlink"/>
    <w:basedOn w:val="DefaultParagraphFont"/>
    <w:uiPriority w:val="99"/>
    <w:unhideWhenUsed/>
    <w:rsid w:val="00407DF2"/>
    <w:rPr>
      <w:color w:val="467886" w:themeColor="hyperlink"/>
      <w:u w:val="single"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CC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iopoulou@socialdo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Trokoudi@growthfun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Achilleas Topas</cp:lastModifiedBy>
  <cp:revision>4</cp:revision>
  <dcterms:created xsi:type="dcterms:W3CDTF">2025-06-20T13:31:00Z</dcterms:created>
  <dcterms:modified xsi:type="dcterms:W3CDTF">2025-06-20T14:13:00Z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2025-04-29T13:53:26Z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520c98a8-f7b6-4844-a417-02d95d7d673b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