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4318" w14:textId="77777777" w:rsidR="000A6701" w:rsidRDefault="000A6701"/>
    <w:p w14:paraId="6E3000D5" w14:textId="130D9F3C" w:rsidR="00B0731D" w:rsidRDefault="00B0731D" w:rsidP="00B0731D">
      <w:pPr>
        <w:jc w:val="right"/>
        <w:rPr>
          <w:rFonts w:ascii="Calibri" w:hAnsi="Calibri" w:cs="Calibri"/>
        </w:rPr>
      </w:pPr>
      <w:r>
        <w:t xml:space="preserve">                     </w:t>
      </w:r>
      <w:r>
        <w:rPr>
          <w:rFonts w:ascii="Calibri" w:hAnsi="Calibri" w:cs="Calibri"/>
        </w:rPr>
        <w:t>Athens, February 29, 2024</w:t>
      </w:r>
    </w:p>
    <w:p w14:paraId="786A3CD5" w14:textId="77777777" w:rsidR="00B0731D" w:rsidRPr="00B0731D" w:rsidRDefault="00B0731D" w:rsidP="00B0731D">
      <w:pPr>
        <w:jc w:val="center"/>
        <w:rPr>
          <w:rFonts w:ascii="Calibri" w:hAnsi="Calibri" w:cs="Calibri"/>
          <w:b/>
          <w:bCs/>
        </w:rPr>
      </w:pPr>
      <w:r w:rsidRPr="00B0731D">
        <w:rPr>
          <w:rFonts w:ascii="Calibri" w:hAnsi="Calibri" w:cs="Calibri"/>
          <w:b/>
          <w:bCs/>
        </w:rPr>
        <w:t>PRESS RELEASE</w:t>
      </w:r>
    </w:p>
    <w:p w14:paraId="1EACA3CD" w14:textId="1F59DF6C" w:rsidR="00B0731D" w:rsidRDefault="00B0731D" w:rsidP="00B0731D">
      <w:pPr>
        <w:jc w:val="center"/>
        <w:rPr>
          <w:rFonts w:ascii="Calibri" w:hAnsi="Calibri" w:cs="Calibri"/>
          <w:b/>
          <w:bCs/>
        </w:rPr>
      </w:pPr>
      <w:r w:rsidRPr="00B0731D">
        <w:rPr>
          <w:rFonts w:ascii="Calibri" w:hAnsi="Calibri" w:cs="Calibri"/>
          <w:b/>
          <w:bCs/>
        </w:rPr>
        <w:t xml:space="preserve">HRADF: </w:t>
      </w:r>
      <w:bookmarkStart w:id="0" w:name="_Hlk155785706"/>
      <w:r>
        <w:rPr>
          <w:rFonts w:ascii="Calibri" w:hAnsi="Calibri" w:cs="Calibri"/>
          <w:b/>
          <w:bCs/>
        </w:rPr>
        <w:t xml:space="preserve">Declaration of </w:t>
      </w:r>
      <w:r w:rsidR="007C2F1C" w:rsidRPr="00FE7230">
        <w:rPr>
          <w:rFonts w:ascii="Calibri" w:hAnsi="Calibri" w:cs="Calibri"/>
          <w:b/>
          <w:color w:val="000000"/>
        </w:rPr>
        <w:t>"INMO PARCK INVEST</w:t>
      </w:r>
      <w:r w:rsidR="007C2F1C">
        <w:rPr>
          <w:rFonts w:ascii="Calibri" w:hAnsi="Calibri" w:cs="Calibri"/>
          <w:b/>
          <w:color w:val="000000"/>
        </w:rPr>
        <w:t xml:space="preserve"> </w:t>
      </w:r>
      <w:r w:rsidR="007C2F1C" w:rsidRPr="00FE7230">
        <w:rPr>
          <w:rFonts w:ascii="Calibri" w:hAnsi="Calibri" w:cs="Calibri"/>
          <w:b/>
          <w:color w:val="000000"/>
        </w:rPr>
        <w:t>S.A."</w:t>
      </w:r>
      <w:r w:rsidR="00B4020F">
        <w:rPr>
          <w:rFonts w:ascii="Calibri" w:hAnsi="Calibri" w:cs="Calibri"/>
          <w:b/>
          <w:color w:val="000000"/>
        </w:rPr>
        <w:t xml:space="preserve"> as</w:t>
      </w:r>
      <w:r>
        <w:rPr>
          <w:rFonts w:ascii="Calibri" w:hAnsi="Calibri" w:cs="Calibri"/>
          <w:b/>
          <w:bCs/>
        </w:rPr>
        <w:t xml:space="preserve"> </w:t>
      </w:r>
      <w:r w:rsidR="007C2F1C">
        <w:rPr>
          <w:rFonts w:ascii="Calibri" w:hAnsi="Calibri" w:cs="Calibri"/>
          <w:b/>
          <w:bCs/>
        </w:rPr>
        <w:t>Preferred Investor</w:t>
      </w:r>
      <w:r>
        <w:rPr>
          <w:rFonts w:ascii="Calibri" w:hAnsi="Calibri" w:cs="Calibri"/>
          <w:b/>
          <w:bCs/>
        </w:rPr>
        <w:t xml:space="preserve"> for the development of the property “Koniavitis Thermal Spring &amp; Camping” and Declaration of </w:t>
      </w:r>
      <w:r w:rsidR="00112729">
        <w:rPr>
          <w:rFonts w:ascii="Calibri" w:hAnsi="Calibri" w:cs="Calibri"/>
          <w:b/>
          <w:bCs/>
        </w:rPr>
        <w:t>the</w:t>
      </w:r>
      <w:r>
        <w:rPr>
          <w:rFonts w:ascii="Calibri" w:hAnsi="Calibri" w:cs="Calibri"/>
          <w:b/>
          <w:bCs/>
        </w:rPr>
        <w:t xml:space="preserve"> tender for the </w:t>
      </w:r>
      <w:r w:rsidRPr="00B0731D">
        <w:rPr>
          <w:rFonts w:ascii="Calibri" w:hAnsi="Calibri" w:cs="Calibri"/>
          <w:b/>
          <w:bCs/>
        </w:rPr>
        <w:t xml:space="preserve">development of the property </w:t>
      </w:r>
      <w:r w:rsidR="00820783">
        <w:rPr>
          <w:rFonts w:ascii="Calibri" w:hAnsi="Calibri" w:cs="Calibri"/>
          <w:b/>
          <w:bCs/>
        </w:rPr>
        <w:t xml:space="preserve">in </w:t>
      </w:r>
      <w:r w:rsidRPr="00B0731D">
        <w:rPr>
          <w:rFonts w:ascii="Calibri" w:hAnsi="Calibri" w:cs="Calibri"/>
          <w:b/>
          <w:bCs/>
        </w:rPr>
        <w:t>"Ververonta", Porto Heli</w:t>
      </w:r>
      <w:r w:rsidR="00112729">
        <w:rPr>
          <w:rFonts w:ascii="Calibri" w:hAnsi="Calibri" w:cs="Calibri"/>
          <w:b/>
          <w:bCs/>
        </w:rPr>
        <w:t>, as unsuccessful</w:t>
      </w:r>
    </w:p>
    <w:bookmarkEnd w:id="0"/>
    <w:p w14:paraId="0BFD104D" w14:textId="1CBB3194" w:rsidR="00B0731D" w:rsidRDefault="00B0731D" w:rsidP="00B0731D">
      <w:pPr>
        <w:spacing w:line="240" w:lineRule="auto"/>
        <w:jc w:val="both"/>
        <w:rPr>
          <w:rFonts w:ascii="Calibri" w:hAnsi="Calibri" w:cs="Calibri"/>
          <w:bCs/>
          <w:color w:val="000000"/>
        </w:rPr>
      </w:pPr>
      <w:r w:rsidRPr="00B0731D">
        <w:rPr>
          <w:rFonts w:ascii="Calibri" w:hAnsi="Calibri" w:cs="Calibri"/>
          <w:bCs/>
          <w:color w:val="000000"/>
        </w:rPr>
        <w:t xml:space="preserve">The Board of Directors of the Hellenic Republic Asset Development Fund, a member company of GROWTHFUND – The National Fund of Greece, during today's meeting decided the following: </w:t>
      </w:r>
    </w:p>
    <w:p w14:paraId="534F904C" w14:textId="77777777" w:rsidR="00B3118A" w:rsidRPr="00B3118A" w:rsidRDefault="00B3118A" w:rsidP="00A67B49">
      <w:pPr>
        <w:pStyle w:val="ListParagraph"/>
        <w:spacing w:line="240" w:lineRule="auto"/>
        <w:jc w:val="both"/>
        <w:rPr>
          <w:rFonts w:ascii="Calibri" w:hAnsi="Calibri" w:cs="Calibri"/>
          <w:b/>
          <w:color w:val="000000"/>
        </w:rPr>
      </w:pPr>
    </w:p>
    <w:p w14:paraId="29A8DD0C" w14:textId="7CE81D93" w:rsidR="00D83873" w:rsidRPr="00D83873" w:rsidRDefault="00FF4EC4" w:rsidP="00D83873">
      <w:pPr>
        <w:pStyle w:val="ListParagraph"/>
        <w:numPr>
          <w:ilvl w:val="0"/>
          <w:numId w:val="1"/>
        </w:numPr>
        <w:spacing w:line="240" w:lineRule="auto"/>
        <w:jc w:val="both"/>
        <w:rPr>
          <w:rFonts w:ascii="Calibri" w:hAnsi="Calibri" w:cs="Calibri"/>
          <w:b/>
          <w:color w:val="000000"/>
        </w:rPr>
      </w:pPr>
      <w:r>
        <w:rPr>
          <w:rFonts w:ascii="Calibri" w:hAnsi="Calibri" w:cs="Calibri"/>
          <w:b/>
          <w:color w:val="000000"/>
        </w:rPr>
        <w:t>The d</w:t>
      </w:r>
      <w:r w:rsidR="00FE7230" w:rsidRPr="00FE7230">
        <w:rPr>
          <w:rFonts w:ascii="Calibri" w:hAnsi="Calibri" w:cs="Calibri"/>
          <w:b/>
          <w:color w:val="000000"/>
        </w:rPr>
        <w:t>eclaration of the company "INMO PARCK INVEST</w:t>
      </w:r>
      <w:r>
        <w:rPr>
          <w:rFonts w:ascii="Calibri" w:hAnsi="Calibri" w:cs="Calibri"/>
          <w:b/>
          <w:color w:val="000000"/>
        </w:rPr>
        <w:t xml:space="preserve"> </w:t>
      </w:r>
      <w:r w:rsidR="00FE7230" w:rsidRPr="00FE7230">
        <w:rPr>
          <w:rFonts w:ascii="Calibri" w:hAnsi="Calibri" w:cs="Calibri"/>
          <w:b/>
          <w:color w:val="000000"/>
        </w:rPr>
        <w:t>S.A." as Preferred Investor</w:t>
      </w:r>
      <w:r w:rsidR="00897D0B">
        <w:rPr>
          <w:rFonts w:ascii="Calibri" w:hAnsi="Calibri" w:cs="Calibri"/>
          <w:b/>
          <w:color w:val="000000"/>
        </w:rPr>
        <w:t xml:space="preserve"> </w:t>
      </w:r>
      <w:r w:rsidR="00632EAF">
        <w:rPr>
          <w:rFonts w:ascii="Calibri" w:hAnsi="Calibri" w:cs="Calibri"/>
          <w:b/>
          <w:color w:val="000000"/>
        </w:rPr>
        <w:t>for the development of the property “Koniavitis Thermal Spring &amp; Camping</w:t>
      </w:r>
      <w:r w:rsidR="004B7318">
        <w:rPr>
          <w:rFonts w:ascii="Calibri" w:hAnsi="Calibri" w:cs="Calibri"/>
          <w:b/>
          <w:color w:val="000000"/>
        </w:rPr>
        <w:t>”.</w:t>
      </w:r>
      <w:r w:rsidR="00995BB7">
        <w:rPr>
          <w:rFonts w:ascii="Calibri" w:hAnsi="Calibri" w:cs="Calibri"/>
          <w:b/>
          <w:color w:val="000000"/>
        </w:rPr>
        <w:t xml:space="preserve"> </w:t>
      </w:r>
    </w:p>
    <w:p w14:paraId="335C33EE" w14:textId="77777777" w:rsidR="00995BB7" w:rsidRPr="00995BB7" w:rsidRDefault="00995BB7" w:rsidP="00995BB7">
      <w:pPr>
        <w:pStyle w:val="ListParagraph"/>
        <w:spacing w:line="240" w:lineRule="auto"/>
        <w:jc w:val="both"/>
        <w:rPr>
          <w:rFonts w:ascii="Calibri" w:hAnsi="Calibri" w:cs="Calibri"/>
          <w:b/>
          <w:color w:val="000000"/>
        </w:rPr>
      </w:pPr>
    </w:p>
    <w:p w14:paraId="435A0A51" w14:textId="3B77AB07" w:rsidR="00D83873" w:rsidRDefault="00F73F67" w:rsidP="00995BB7">
      <w:pPr>
        <w:pStyle w:val="ListParagraph"/>
        <w:spacing w:line="240" w:lineRule="auto"/>
        <w:jc w:val="both"/>
        <w:rPr>
          <w:rFonts w:ascii="Calibri" w:hAnsi="Calibri" w:cs="Calibri"/>
          <w:bCs/>
          <w:color w:val="000000"/>
        </w:rPr>
      </w:pPr>
      <w:r>
        <w:rPr>
          <w:rFonts w:ascii="Calibri" w:hAnsi="Calibri" w:cs="Calibri"/>
          <w:bCs/>
          <w:color w:val="000000"/>
        </w:rPr>
        <w:t>T</w:t>
      </w:r>
      <w:r w:rsidR="001E1399">
        <w:rPr>
          <w:rFonts w:ascii="Calibri" w:hAnsi="Calibri" w:cs="Calibri"/>
          <w:bCs/>
          <w:color w:val="000000"/>
        </w:rPr>
        <w:t xml:space="preserve">he improved offer for the </w:t>
      </w:r>
      <w:r w:rsidR="00BB4699">
        <w:rPr>
          <w:rFonts w:ascii="Calibri" w:hAnsi="Calibri" w:cs="Calibri"/>
          <w:bCs/>
          <w:color w:val="000000"/>
        </w:rPr>
        <w:t>development of</w:t>
      </w:r>
      <w:r w:rsidR="00D961C2">
        <w:rPr>
          <w:rFonts w:ascii="Calibri" w:hAnsi="Calibri" w:cs="Calibri"/>
          <w:bCs/>
          <w:color w:val="000000"/>
        </w:rPr>
        <w:t xml:space="preserve"> the property “Koniavitis Thermal Spring &amp; Camping”</w:t>
      </w:r>
      <w:r w:rsidR="00A0550A">
        <w:rPr>
          <w:rFonts w:ascii="Calibri" w:hAnsi="Calibri" w:cs="Calibri"/>
          <w:bCs/>
          <w:color w:val="000000"/>
        </w:rPr>
        <w:t>,</w:t>
      </w:r>
      <w:r w:rsidR="00D961C2">
        <w:rPr>
          <w:rFonts w:ascii="Calibri" w:hAnsi="Calibri" w:cs="Calibri"/>
          <w:bCs/>
          <w:color w:val="000000"/>
        </w:rPr>
        <w:t xml:space="preserve"> </w:t>
      </w:r>
      <w:r w:rsidR="00E34451">
        <w:rPr>
          <w:rFonts w:ascii="Calibri" w:hAnsi="Calibri" w:cs="Calibri"/>
          <w:bCs/>
          <w:color w:val="000000"/>
        </w:rPr>
        <w:t xml:space="preserve">submitted by </w:t>
      </w:r>
      <w:r w:rsidR="00E34451" w:rsidRPr="00E34451">
        <w:rPr>
          <w:rFonts w:ascii="Calibri" w:hAnsi="Calibri" w:cs="Calibri"/>
          <w:bCs/>
          <w:color w:val="000000"/>
        </w:rPr>
        <w:t>INMO PARCK INVEST S.A</w:t>
      </w:r>
      <w:r w:rsidR="00E34451">
        <w:rPr>
          <w:rFonts w:ascii="Calibri" w:hAnsi="Calibri" w:cs="Calibri"/>
          <w:bCs/>
          <w:color w:val="000000"/>
        </w:rPr>
        <w:t>.</w:t>
      </w:r>
      <w:r w:rsidR="00546569">
        <w:rPr>
          <w:rFonts w:ascii="Calibri" w:hAnsi="Calibri" w:cs="Calibri"/>
          <w:bCs/>
          <w:color w:val="000000"/>
        </w:rPr>
        <w:t xml:space="preserve"> on 15.02.2024</w:t>
      </w:r>
      <w:r w:rsidR="00E34451">
        <w:rPr>
          <w:rFonts w:ascii="Calibri" w:hAnsi="Calibri" w:cs="Calibri"/>
          <w:bCs/>
          <w:color w:val="000000"/>
        </w:rPr>
        <w:t xml:space="preserve">, </w:t>
      </w:r>
      <w:r w:rsidR="00D961C2">
        <w:rPr>
          <w:rFonts w:ascii="Calibri" w:hAnsi="Calibri" w:cs="Calibri"/>
          <w:bCs/>
          <w:color w:val="000000"/>
        </w:rPr>
        <w:t>was evaluated</w:t>
      </w:r>
      <w:r>
        <w:rPr>
          <w:rFonts w:ascii="Calibri" w:hAnsi="Calibri" w:cs="Calibri"/>
          <w:bCs/>
          <w:color w:val="000000"/>
        </w:rPr>
        <w:t xml:space="preserve"> by the Board of Directors</w:t>
      </w:r>
      <w:r w:rsidR="00D961C2">
        <w:rPr>
          <w:rFonts w:ascii="Calibri" w:hAnsi="Calibri" w:cs="Calibri"/>
          <w:bCs/>
          <w:color w:val="000000"/>
        </w:rPr>
        <w:t xml:space="preserve"> </w:t>
      </w:r>
      <w:r w:rsidR="00761020">
        <w:rPr>
          <w:rFonts w:ascii="Calibri" w:hAnsi="Calibri" w:cs="Calibri"/>
          <w:bCs/>
          <w:color w:val="000000"/>
        </w:rPr>
        <w:t>and the company was declared</w:t>
      </w:r>
      <w:r w:rsidR="00FF4EC4">
        <w:rPr>
          <w:rFonts w:ascii="Calibri" w:hAnsi="Calibri" w:cs="Calibri"/>
          <w:bCs/>
          <w:color w:val="000000"/>
        </w:rPr>
        <w:t xml:space="preserve"> </w:t>
      </w:r>
      <w:r w:rsidR="00761020">
        <w:rPr>
          <w:rFonts w:ascii="Calibri" w:hAnsi="Calibri" w:cs="Calibri"/>
          <w:bCs/>
          <w:color w:val="000000"/>
        </w:rPr>
        <w:t>Preferred Investor</w:t>
      </w:r>
      <w:r w:rsidR="00FF4EC4">
        <w:rPr>
          <w:rFonts w:ascii="Calibri" w:hAnsi="Calibri" w:cs="Calibri"/>
          <w:bCs/>
          <w:color w:val="000000"/>
        </w:rPr>
        <w:t>.</w:t>
      </w:r>
    </w:p>
    <w:p w14:paraId="20B1E220" w14:textId="77777777" w:rsidR="00B4020F" w:rsidRDefault="00B4020F" w:rsidP="00995BB7">
      <w:pPr>
        <w:pStyle w:val="ListParagraph"/>
        <w:spacing w:line="240" w:lineRule="auto"/>
        <w:jc w:val="both"/>
        <w:rPr>
          <w:rFonts w:ascii="Calibri" w:hAnsi="Calibri" w:cs="Calibri"/>
          <w:bCs/>
          <w:color w:val="000000"/>
        </w:rPr>
      </w:pPr>
    </w:p>
    <w:p w14:paraId="20279A20" w14:textId="51BE8928" w:rsidR="00B4020F" w:rsidRDefault="00B4020F" w:rsidP="00B4020F">
      <w:pPr>
        <w:pStyle w:val="ListParagraph"/>
        <w:spacing w:line="240" w:lineRule="auto"/>
        <w:jc w:val="both"/>
        <w:rPr>
          <w:rFonts w:ascii="Calibri" w:hAnsi="Calibri" w:cs="Calibri"/>
          <w:bCs/>
          <w:color w:val="000000"/>
        </w:rPr>
      </w:pPr>
      <w:r w:rsidRPr="00995BB7">
        <w:rPr>
          <w:rFonts w:ascii="Calibri" w:hAnsi="Calibri" w:cs="Calibri"/>
          <w:bCs/>
          <w:color w:val="000000"/>
        </w:rPr>
        <w:t>The property covers 5</w:t>
      </w:r>
      <w:r w:rsidR="0053756C">
        <w:rPr>
          <w:rFonts w:ascii="Calibri" w:hAnsi="Calibri" w:cs="Calibri"/>
          <w:bCs/>
          <w:color w:val="000000"/>
        </w:rPr>
        <w:t>93</w:t>
      </w:r>
      <w:r w:rsidRPr="00995BB7">
        <w:rPr>
          <w:rFonts w:ascii="Calibri" w:hAnsi="Calibri" w:cs="Calibri"/>
          <w:bCs/>
          <w:color w:val="000000"/>
        </w:rPr>
        <w:t>,</w:t>
      </w:r>
      <w:r w:rsidR="0053756C">
        <w:rPr>
          <w:rFonts w:ascii="Calibri" w:hAnsi="Calibri" w:cs="Calibri"/>
          <w:bCs/>
          <w:color w:val="000000"/>
        </w:rPr>
        <w:t>061</w:t>
      </w:r>
      <w:r w:rsidRPr="00995BB7">
        <w:rPr>
          <w:rFonts w:ascii="Calibri" w:hAnsi="Calibri" w:cs="Calibri"/>
          <w:bCs/>
          <w:color w:val="000000"/>
        </w:rPr>
        <w:t>.</w:t>
      </w:r>
      <w:r w:rsidR="0053756C">
        <w:rPr>
          <w:rFonts w:ascii="Calibri" w:hAnsi="Calibri" w:cs="Calibri"/>
          <w:bCs/>
          <w:color w:val="000000"/>
        </w:rPr>
        <w:t>75</w:t>
      </w:r>
      <w:r w:rsidRPr="00995BB7">
        <w:rPr>
          <w:rFonts w:ascii="Calibri" w:hAnsi="Calibri" w:cs="Calibri"/>
          <w:bCs/>
          <w:color w:val="000000"/>
        </w:rPr>
        <w:t xml:space="preserve"> square meters and consists of two areas (A and B). According to the terms of the Tender, Area A is available for sale</w:t>
      </w:r>
      <w:r w:rsidR="00281F40">
        <w:rPr>
          <w:rFonts w:ascii="Calibri" w:hAnsi="Calibri" w:cs="Calibri"/>
          <w:bCs/>
          <w:color w:val="000000"/>
        </w:rPr>
        <w:t>,</w:t>
      </w:r>
      <w:r w:rsidRPr="00995BB7">
        <w:rPr>
          <w:rFonts w:ascii="Calibri" w:hAnsi="Calibri" w:cs="Calibri"/>
          <w:bCs/>
          <w:color w:val="000000"/>
        </w:rPr>
        <w:t xml:space="preserve"> while Area B</w:t>
      </w:r>
      <w:r w:rsidR="00281F40">
        <w:rPr>
          <w:rFonts w:ascii="Calibri" w:hAnsi="Calibri" w:cs="Calibri"/>
          <w:bCs/>
          <w:color w:val="000000"/>
        </w:rPr>
        <w:t xml:space="preserve"> </w:t>
      </w:r>
      <w:r w:rsidRPr="00995BB7">
        <w:rPr>
          <w:rFonts w:ascii="Calibri" w:hAnsi="Calibri" w:cs="Calibri"/>
          <w:bCs/>
          <w:color w:val="000000"/>
        </w:rPr>
        <w:t xml:space="preserve">will be developed with a 50-year long-term lease. </w:t>
      </w:r>
    </w:p>
    <w:p w14:paraId="4C74A62F" w14:textId="77777777" w:rsidR="00281F40" w:rsidRDefault="00281F40" w:rsidP="00B4020F">
      <w:pPr>
        <w:pStyle w:val="ListParagraph"/>
        <w:spacing w:line="240" w:lineRule="auto"/>
        <w:jc w:val="both"/>
        <w:rPr>
          <w:rFonts w:ascii="Calibri" w:hAnsi="Calibri" w:cs="Calibri"/>
          <w:bCs/>
          <w:color w:val="000000"/>
        </w:rPr>
      </w:pPr>
    </w:p>
    <w:p w14:paraId="1F63C993" w14:textId="369B85F4" w:rsidR="00400179" w:rsidRDefault="00400179" w:rsidP="00400179">
      <w:pPr>
        <w:pStyle w:val="ListParagraph"/>
        <w:spacing w:line="240" w:lineRule="auto"/>
        <w:jc w:val="both"/>
        <w:rPr>
          <w:rFonts w:ascii="Calibri" w:hAnsi="Calibri" w:cs="Calibri"/>
          <w:bCs/>
          <w:color w:val="000000"/>
        </w:rPr>
      </w:pPr>
      <w:r w:rsidRPr="00400179">
        <w:rPr>
          <w:rFonts w:ascii="Calibri" w:hAnsi="Calibri" w:cs="Calibri"/>
          <w:bCs/>
          <w:color w:val="000000"/>
        </w:rPr>
        <w:t xml:space="preserve">The price offered by "INMO PARCK INVEST S.A." </w:t>
      </w:r>
      <w:r w:rsidR="00F73F67">
        <w:rPr>
          <w:rFonts w:ascii="Calibri" w:hAnsi="Calibri" w:cs="Calibri"/>
          <w:bCs/>
          <w:color w:val="000000"/>
        </w:rPr>
        <w:t>amounts to</w:t>
      </w:r>
      <w:r w:rsidRPr="00400179">
        <w:rPr>
          <w:rFonts w:ascii="Calibri" w:hAnsi="Calibri" w:cs="Calibri"/>
          <w:bCs/>
          <w:color w:val="000000"/>
        </w:rPr>
        <w:t xml:space="preserve"> present value:</w:t>
      </w:r>
    </w:p>
    <w:p w14:paraId="73E57A8B" w14:textId="77777777" w:rsidR="003B3304" w:rsidRPr="00400179" w:rsidRDefault="003B3304" w:rsidP="00400179">
      <w:pPr>
        <w:pStyle w:val="ListParagraph"/>
        <w:spacing w:line="240" w:lineRule="auto"/>
        <w:jc w:val="both"/>
        <w:rPr>
          <w:rFonts w:ascii="Calibri" w:hAnsi="Calibri" w:cs="Calibri"/>
          <w:bCs/>
          <w:color w:val="000000"/>
        </w:rPr>
      </w:pPr>
    </w:p>
    <w:p w14:paraId="5238C918" w14:textId="22DF6629" w:rsidR="00400179" w:rsidRPr="00400179" w:rsidRDefault="00400179" w:rsidP="00400179">
      <w:pPr>
        <w:pStyle w:val="ListParagraph"/>
        <w:spacing w:line="240" w:lineRule="auto"/>
        <w:jc w:val="both"/>
        <w:rPr>
          <w:rFonts w:ascii="Calibri" w:hAnsi="Calibri" w:cs="Calibri"/>
          <w:bCs/>
          <w:color w:val="000000"/>
        </w:rPr>
      </w:pPr>
      <w:r w:rsidRPr="00400179">
        <w:rPr>
          <w:rFonts w:ascii="Calibri" w:hAnsi="Calibri" w:cs="Calibri"/>
          <w:bCs/>
          <w:color w:val="000000"/>
        </w:rPr>
        <w:t>• For area A: 9</w:t>
      </w:r>
      <w:r w:rsidR="00F73F67">
        <w:rPr>
          <w:rFonts w:ascii="Calibri" w:hAnsi="Calibri" w:cs="Calibri"/>
          <w:bCs/>
          <w:color w:val="000000"/>
        </w:rPr>
        <w:t>,</w:t>
      </w:r>
      <w:r w:rsidRPr="00400179">
        <w:rPr>
          <w:rFonts w:ascii="Calibri" w:hAnsi="Calibri" w:cs="Calibri"/>
          <w:bCs/>
          <w:color w:val="000000"/>
        </w:rPr>
        <w:t>338</w:t>
      </w:r>
      <w:r w:rsidR="00F73F67">
        <w:rPr>
          <w:rFonts w:ascii="Calibri" w:hAnsi="Calibri" w:cs="Calibri"/>
          <w:bCs/>
          <w:color w:val="000000"/>
        </w:rPr>
        <w:t>,</w:t>
      </w:r>
      <w:r w:rsidRPr="00400179">
        <w:rPr>
          <w:rFonts w:ascii="Calibri" w:hAnsi="Calibri" w:cs="Calibri"/>
          <w:bCs/>
          <w:color w:val="000000"/>
        </w:rPr>
        <w:t>842</w:t>
      </w:r>
      <w:r w:rsidR="00F73F67">
        <w:rPr>
          <w:rFonts w:ascii="Calibri" w:hAnsi="Calibri" w:cs="Calibri"/>
          <w:bCs/>
          <w:color w:val="000000"/>
        </w:rPr>
        <w:t>.</w:t>
      </w:r>
      <w:r w:rsidRPr="00400179">
        <w:rPr>
          <w:rFonts w:ascii="Calibri" w:hAnsi="Calibri" w:cs="Calibri"/>
          <w:bCs/>
          <w:color w:val="000000"/>
        </w:rPr>
        <w:t>98 euros.</w:t>
      </w:r>
    </w:p>
    <w:p w14:paraId="2C52D29D" w14:textId="120B8853" w:rsidR="00A362B8" w:rsidRDefault="00400179" w:rsidP="00400179">
      <w:pPr>
        <w:pStyle w:val="ListParagraph"/>
        <w:spacing w:line="240" w:lineRule="auto"/>
        <w:jc w:val="both"/>
        <w:rPr>
          <w:rFonts w:ascii="Calibri" w:hAnsi="Calibri" w:cs="Calibri"/>
          <w:bCs/>
          <w:color w:val="000000"/>
        </w:rPr>
      </w:pPr>
      <w:r w:rsidRPr="00400179">
        <w:rPr>
          <w:rFonts w:ascii="Calibri" w:hAnsi="Calibri" w:cs="Calibri"/>
          <w:bCs/>
          <w:color w:val="000000"/>
        </w:rPr>
        <w:t>• For area B: EUR 1,679</w:t>
      </w:r>
      <w:r w:rsidR="00F73F67">
        <w:rPr>
          <w:rFonts w:ascii="Calibri" w:hAnsi="Calibri" w:cs="Calibri"/>
          <w:bCs/>
          <w:color w:val="000000"/>
        </w:rPr>
        <w:t>,</w:t>
      </w:r>
      <w:r w:rsidRPr="00400179">
        <w:rPr>
          <w:rFonts w:ascii="Calibri" w:hAnsi="Calibri" w:cs="Calibri"/>
          <w:bCs/>
          <w:color w:val="000000"/>
        </w:rPr>
        <w:t>341.76</w:t>
      </w:r>
      <w:r w:rsidR="00F73F67">
        <w:rPr>
          <w:rFonts w:ascii="Calibri" w:hAnsi="Calibri" w:cs="Calibri"/>
          <w:bCs/>
          <w:color w:val="000000"/>
        </w:rPr>
        <w:t xml:space="preserve"> euros. </w:t>
      </w:r>
    </w:p>
    <w:p w14:paraId="5DE4BF73" w14:textId="77777777" w:rsidR="00400179" w:rsidRPr="00400179" w:rsidRDefault="00400179" w:rsidP="00400179">
      <w:pPr>
        <w:pStyle w:val="ListParagraph"/>
        <w:spacing w:line="240" w:lineRule="auto"/>
        <w:jc w:val="both"/>
        <w:rPr>
          <w:rFonts w:ascii="Calibri" w:hAnsi="Calibri" w:cs="Calibri"/>
          <w:bCs/>
          <w:color w:val="000000"/>
        </w:rPr>
      </w:pPr>
    </w:p>
    <w:p w14:paraId="276A177A" w14:textId="089C989A" w:rsidR="00995BB7" w:rsidRDefault="00995BB7" w:rsidP="00490BDE">
      <w:pPr>
        <w:pStyle w:val="ListParagraph"/>
        <w:spacing w:line="240" w:lineRule="auto"/>
        <w:jc w:val="both"/>
        <w:rPr>
          <w:rFonts w:ascii="Calibri" w:hAnsi="Calibri" w:cs="Calibri"/>
          <w:bCs/>
          <w:color w:val="000000"/>
        </w:rPr>
      </w:pPr>
      <w:r w:rsidRPr="00995BB7">
        <w:rPr>
          <w:rFonts w:ascii="Calibri" w:hAnsi="Calibri" w:cs="Calibri"/>
          <w:bCs/>
          <w:color w:val="000000"/>
        </w:rPr>
        <w:t>The</w:t>
      </w:r>
      <w:r w:rsidR="00F73F67">
        <w:rPr>
          <w:rFonts w:ascii="Calibri" w:hAnsi="Calibri" w:cs="Calibri"/>
          <w:bCs/>
          <w:color w:val="000000"/>
        </w:rPr>
        <w:t xml:space="preserve"> Preferred</w:t>
      </w:r>
      <w:r w:rsidRPr="00995BB7">
        <w:rPr>
          <w:rFonts w:ascii="Calibri" w:hAnsi="Calibri" w:cs="Calibri"/>
          <w:bCs/>
          <w:color w:val="000000"/>
        </w:rPr>
        <w:t xml:space="preserve"> </w:t>
      </w:r>
      <w:r w:rsidR="00F73F67">
        <w:rPr>
          <w:rFonts w:ascii="Calibri" w:hAnsi="Calibri" w:cs="Calibri"/>
          <w:bCs/>
          <w:color w:val="000000"/>
        </w:rPr>
        <w:t>I</w:t>
      </w:r>
      <w:r w:rsidRPr="00995BB7">
        <w:rPr>
          <w:rFonts w:ascii="Calibri" w:hAnsi="Calibri" w:cs="Calibri"/>
          <w:bCs/>
          <w:color w:val="000000"/>
        </w:rPr>
        <w:t xml:space="preserve">nvestor </w:t>
      </w:r>
      <w:r w:rsidR="00F73F67">
        <w:rPr>
          <w:rFonts w:ascii="Calibri" w:hAnsi="Calibri" w:cs="Calibri"/>
          <w:bCs/>
          <w:color w:val="000000"/>
        </w:rPr>
        <w:t>intends</w:t>
      </w:r>
      <w:r w:rsidRPr="00995BB7">
        <w:rPr>
          <w:rFonts w:ascii="Calibri" w:hAnsi="Calibri" w:cs="Calibri"/>
          <w:bCs/>
          <w:color w:val="000000"/>
        </w:rPr>
        <w:t xml:space="preserve"> to implement significant investment</w:t>
      </w:r>
      <w:r w:rsidR="00220C72">
        <w:rPr>
          <w:rFonts w:ascii="Calibri" w:hAnsi="Calibri" w:cs="Calibri"/>
          <w:bCs/>
          <w:color w:val="000000"/>
        </w:rPr>
        <w:t>s</w:t>
      </w:r>
      <w:r w:rsidR="00773DC5">
        <w:rPr>
          <w:rFonts w:ascii="Calibri" w:hAnsi="Calibri" w:cs="Calibri"/>
          <w:bCs/>
          <w:color w:val="000000"/>
        </w:rPr>
        <w:t xml:space="preserve"> </w:t>
      </w:r>
      <w:r w:rsidR="001107B3">
        <w:rPr>
          <w:rFonts w:ascii="Calibri" w:hAnsi="Calibri" w:cs="Calibri"/>
          <w:bCs/>
          <w:color w:val="000000"/>
        </w:rPr>
        <w:t xml:space="preserve">worth </w:t>
      </w:r>
      <w:r w:rsidR="00773DC5">
        <w:rPr>
          <w:rFonts w:ascii="Calibri" w:hAnsi="Calibri" w:cs="Calibri"/>
          <w:bCs/>
          <w:color w:val="000000"/>
        </w:rPr>
        <w:t>at least</w:t>
      </w:r>
      <w:r w:rsidR="002E084A">
        <w:rPr>
          <w:rFonts w:ascii="Calibri" w:hAnsi="Calibri" w:cs="Calibri"/>
          <w:bCs/>
          <w:color w:val="000000"/>
        </w:rPr>
        <w:t xml:space="preserve"> 200 million euros </w:t>
      </w:r>
      <w:r w:rsidRPr="00995BB7">
        <w:rPr>
          <w:rFonts w:ascii="Calibri" w:hAnsi="Calibri" w:cs="Calibri"/>
          <w:bCs/>
          <w:color w:val="000000"/>
        </w:rPr>
        <w:t xml:space="preserve">for the further development of the property, </w:t>
      </w:r>
      <w:r w:rsidR="00490BDE">
        <w:rPr>
          <w:rFonts w:ascii="Calibri" w:hAnsi="Calibri" w:cs="Calibri"/>
          <w:bCs/>
          <w:color w:val="000000"/>
        </w:rPr>
        <w:t>t</w:t>
      </w:r>
      <w:r w:rsidR="00490BDE" w:rsidRPr="00490BDE">
        <w:rPr>
          <w:rFonts w:ascii="Calibri" w:hAnsi="Calibri" w:cs="Calibri"/>
          <w:bCs/>
          <w:color w:val="000000"/>
        </w:rPr>
        <w:t>he coastal front and the thermal springs</w:t>
      </w:r>
      <w:r w:rsidR="009A4B18" w:rsidRPr="009A4B18">
        <w:rPr>
          <w:rFonts w:ascii="Calibri" w:hAnsi="Calibri" w:cs="Calibri"/>
          <w:bCs/>
          <w:color w:val="000000"/>
        </w:rPr>
        <w:t xml:space="preserve">. </w:t>
      </w:r>
      <w:r w:rsidR="009A4B18">
        <w:rPr>
          <w:rFonts w:ascii="Calibri" w:hAnsi="Calibri" w:cs="Calibri"/>
          <w:bCs/>
          <w:color w:val="000000"/>
        </w:rPr>
        <w:t>Th</w:t>
      </w:r>
      <w:r w:rsidR="00413E07">
        <w:rPr>
          <w:rFonts w:ascii="Calibri" w:hAnsi="Calibri" w:cs="Calibri"/>
          <w:bCs/>
          <w:color w:val="000000"/>
        </w:rPr>
        <w:t>e</w:t>
      </w:r>
      <w:r w:rsidR="009A4B18">
        <w:rPr>
          <w:rFonts w:ascii="Calibri" w:hAnsi="Calibri" w:cs="Calibri"/>
          <w:bCs/>
          <w:color w:val="000000"/>
        </w:rPr>
        <w:t xml:space="preserve"> </w:t>
      </w:r>
      <w:r w:rsidR="00F73F67">
        <w:rPr>
          <w:rFonts w:ascii="Calibri" w:hAnsi="Calibri" w:cs="Calibri"/>
          <w:bCs/>
          <w:color w:val="000000"/>
        </w:rPr>
        <w:t>intended investments</w:t>
      </w:r>
      <w:r w:rsidR="00490BDE" w:rsidRPr="00490BDE">
        <w:rPr>
          <w:rFonts w:ascii="Calibri" w:hAnsi="Calibri" w:cs="Calibri"/>
          <w:bCs/>
          <w:color w:val="000000"/>
        </w:rPr>
        <w:t xml:space="preserve"> </w:t>
      </w:r>
      <w:r w:rsidR="00F73F67">
        <w:rPr>
          <w:rFonts w:ascii="Calibri" w:hAnsi="Calibri" w:cs="Calibri"/>
          <w:bCs/>
          <w:color w:val="000000"/>
        </w:rPr>
        <w:t xml:space="preserve">include </w:t>
      </w:r>
      <w:r w:rsidR="0026121E" w:rsidRPr="004E6F95">
        <w:rPr>
          <w:rFonts w:ascii="Calibri" w:hAnsi="Calibri" w:cs="Calibri"/>
        </w:rPr>
        <w:t>tourism and leisure uses</w:t>
      </w:r>
      <w:r w:rsidR="00F73F67">
        <w:rPr>
          <w:rFonts w:ascii="Calibri" w:hAnsi="Calibri" w:cs="Calibri"/>
        </w:rPr>
        <w:t>,</w:t>
      </w:r>
      <w:r w:rsidR="0026121E" w:rsidRPr="004E6F95">
        <w:rPr>
          <w:rFonts w:ascii="Calibri" w:hAnsi="Calibri" w:cs="Calibri"/>
        </w:rPr>
        <w:t xml:space="preserve"> </w:t>
      </w:r>
      <w:r w:rsidR="0026121E">
        <w:rPr>
          <w:rFonts w:ascii="Calibri" w:hAnsi="Calibri" w:cs="Calibri"/>
        </w:rPr>
        <w:t xml:space="preserve">such as </w:t>
      </w:r>
      <w:r w:rsidR="0046699C">
        <w:rPr>
          <w:rFonts w:ascii="Calibri" w:hAnsi="Calibri" w:cs="Calibri"/>
          <w:bCs/>
          <w:color w:val="000000"/>
        </w:rPr>
        <w:t xml:space="preserve">a </w:t>
      </w:r>
      <w:r w:rsidR="00490BDE" w:rsidRPr="00490BDE">
        <w:rPr>
          <w:rFonts w:ascii="Calibri" w:hAnsi="Calibri" w:cs="Calibri"/>
          <w:bCs/>
          <w:color w:val="000000"/>
        </w:rPr>
        <w:t>luxury hotel, residences, wellness facilities</w:t>
      </w:r>
      <w:r w:rsidR="00C36BC3">
        <w:rPr>
          <w:rFonts w:ascii="Calibri" w:hAnsi="Calibri" w:cs="Calibri"/>
          <w:bCs/>
          <w:color w:val="000000"/>
        </w:rPr>
        <w:t xml:space="preserve"> and </w:t>
      </w:r>
      <w:r w:rsidR="00490BDE" w:rsidRPr="00490BDE">
        <w:rPr>
          <w:rFonts w:ascii="Calibri" w:hAnsi="Calibri" w:cs="Calibri"/>
          <w:bCs/>
          <w:color w:val="000000"/>
        </w:rPr>
        <w:t>shops</w:t>
      </w:r>
      <w:r w:rsidR="00C36BC3">
        <w:rPr>
          <w:rFonts w:ascii="Calibri" w:hAnsi="Calibri" w:cs="Calibri"/>
          <w:bCs/>
          <w:color w:val="000000"/>
        </w:rPr>
        <w:t xml:space="preserve"> as well as </w:t>
      </w:r>
      <w:r w:rsidR="00F73F67">
        <w:rPr>
          <w:rFonts w:ascii="Calibri" w:hAnsi="Calibri" w:cs="Calibri"/>
          <w:bCs/>
          <w:color w:val="000000"/>
        </w:rPr>
        <w:t xml:space="preserve">the development of </w:t>
      </w:r>
      <w:r w:rsidR="00C36BC3">
        <w:rPr>
          <w:rFonts w:ascii="Calibri" w:hAnsi="Calibri" w:cs="Calibri"/>
          <w:bCs/>
          <w:color w:val="000000"/>
        </w:rPr>
        <w:t>a marina infrastructure</w:t>
      </w:r>
      <w:r w:rsidR="00490BDE" w:rsidRPr="00490BDE">
        <w:rPr>
          <w:rFonts w:ascii="Calibri" w:hAnsi="Calibri" w:cs="Calibri"/>
          <w:bCs/>
          <w:color w:val="000000"/>
        </w:rPr>
        <w:t xml:space="preserve">. The investments are in line with the </w:t>
      </w:r>
      <w:r w:rsidR="00F73F67">
        <w:rPr>
          <w:rFonts w:ascii="Calibri" w:hAnsi="Calibri" w:cs="Calibri"/>
          <w:bCs/>
          <w:color w:val="000000"/>
        </w:rPr>
        <w:t>Spatial Development Plan (ESCHADA)</w:t>
      </w:r>
      <w:r w:rsidR="00490BDE" w:rsidRPr="00490BDE">
        <w:rPr>
          <w:rFonts w:ascii="Calibri" w:hAnsi="Calibri" w:cs="Calibri"/>
          <w:bCs/>
          <w:color w:val="000000"/>
        </w:rPr>
        <w:t xml:space="preserve"> that has been carried out</w:t>
      </w:r>
      <w:r w:rsidR="00F73F67">
        <w:rPr>
          <w:rFonts w:ascii="Calibri" w:hAnsi="Calibri" w:cs="Calibri"/>
          <w:bCs/>
          <w:color w:val="000000"/>
        </w:rPr>
        <w:t>. The Preferred Investor</w:t>
      </w:r>
      <w:r w:rsidR="00490BDE" w:rsidRPr="00490BDE">
        <w:rPr>
          <w:rFonts w:ascii="Calibri" w:hAnsi="Calibri" w:cs="Calibri"/>
          <w:bCs/>
          <w:color w:val="000000"/>
        </w:rPr>
        <w:t xml:space="preserve"> intends to follow a sustainable development strategy, with a strong "green" footprint for the wider region.</w:t>
      </w:r>
    </w:p>
    <w:p w14:paraId="3474F6C1" w14:textId="77777777" w:rsidR="00995BB7" w:rsidRDefault="00995BB7" w:rsidP="00995BB7">
      <w:pPr>
        <w:pStyle w:val="ListParagraph"/>
        <w:spacing w:line="240" w:lineRule="auto"/>
        <w:jc w:val="both"/>
        <w:rPr>
          <w:rFonts w:ascii="Calibri" w:hAnsi="Calibri" w:cs="Calibri"/>
          <w:bCs/>
          <w:color w:val="000000"/>
        </w:rPr>
      </w:pPr>
    </w:p>
    <w:p w14:paraId="7A283FF9" w14:textId="0314609B" w:rsidR="004E6F95" w:rsidRPr="004E6F95" w:rsidRDefault="004E6F95" w:rsidP="00995BB7">
      <w:pPr>
        <w:pStyle w:val="ListParagraph"/>
        <w:spacing w:line="240" w:lineRule="auto"/>
        <w:jc w:val="both"/>
        <w:rPr>
          <w:rFonts w:ascii="Calibri" w:hAnsi="Calibri" w:cs="Calibri"/>
          <w:bCs/>
          <w:color w:val="000000"/>
        </w:rPr>
      </w:pPr>
      <w:r w:rsidRPr="004E6F95">
        <w:rPr>
          <w:rFonts w:ascii="Calibri" w:hAnsi="Calibri" w:cs="Calibri"/>
        </w:rPr>
        <w:t xml:space="preserve">Area A is a plot outside the urban planning zone which covers 520,515.65 square meters with a sea front of about 1,200 meters. According to the Spatial Development Plan (ESCHADA) study that has been approved, </w:t>
      </w:r>
      <w:r w:rsidR="00EC2BDE">
        <w:rPr>
          <w:rFonts w:ascii="Calibri" w:hAnsi="Calibri" w:cs="Calibri"/>
        </w:rPr>
        <w:t>T</w:t>
      </w:r>
      <w:r w:rsidRPr="004E6F95">
        <w:rPr>
          <w:rFonts w:ascii="Calibri" w:hAnsi="Calibri" w:cs="Calibri"/>
        </w:rPr>
        <w:t xml:space="preserve">ourism and </w:t>
      </w:r>
      <w:r w:rsidR="00EC2BDE">
        <w:rPr>
          <w:rFonts w:ascii="Calibri" w:hAnsi="Calibri" w:cs="Calibri"/>
        </w:rPr>
        <w:t>L</w:t>
      </w:r>
      <w:r w:rsidRPr="004E6F95">
        <w:rPr>
          <w:rFonts w:ascii="Calibri" w:hAnsi="Calibri" w:cs="Calibri"/>
        </w:rPr>
        <w:t>eisure uses are allowed, such as tourist accommodation, special tourist infrastructure and other tourist facilities serving the Thermal Springs, marinas, residence of staff facilities, shops, social welfare uses, sports facilities, cultural facilities, religious sites, healthcare, catering, refreshments, entertainment and recreation centers, parking, exhibition facilities, helipad, sewage treatment plant, etc.</w:t>
      </w:r>
    </w:p>
    <w:p w14:paraId="0EDB5348" w14:textId="77777777" w:rsidR="00995BB7" w:rsidRDefault="00995BB7" w:rsidP="00995BB7">
      <w:pPr>
        <w:pStyle w:val="ListParagraph"/>
        <w:spacing w:line="240" w:lineRule="auto"/>
        <w:jc w:val="both"/>
        <w:rPr>
          <w:rFonts w:ascii="Calibri" w:hAnsi="Calibri" w:cs="Calibri"/>
          <w:bCs/>
          <w:color w:val="000000"/>
        </w:rPr>
      </w:pPr>
    </w:p>
    <w:p w14:paraId="77D25AD3" w14:textId="56DC966C" w:rsidR="001A0524" w:rsidRPr="00E014DC" w:rsidRDefault="000B110C" w:rsidP="00E014DC">
      <w:pPr>
        <w:pStyle w:val="ListParagraph"/>
        <w:spacing w:line="240" w:lineRule="auto"/>
        <w:jc w:val="both"/>
        <w:rPr>
          <w:rFonts w:ascii="Calibri" w:hAnsi="Calibri" w:cs="Calibri"/>
        </w:rPr>
      </w:pPr>
      <w:r w:rsidRPr="000B110C">
        <w:rPr>
          <w:rFonts w:ascii="Calibri" w:hAnsi="Calibri" w:cs="Calibri"/>
        </w:rPr>
        <w:t xml:space="preserve">Area B is a plot outside the urban planning zone with an area of 72,546.10 square meters, which includes both thermal springs, “Mylos Koniavitis” and “Kallyntikon”, with the latter officially recognized. Area B is defined as an area for the promotion of thermal springs and according to the </w:t>
      </w:r>
      <w:r w:rsidRPr="000B110C">
        <w:rPr>
          <w:rFonts w:ascii="Calibri" w:hAnsi="Calibri" w:cs="Calibri"/>
        </w:rPr>
        <w:lastRenderedPageBreak/>
        <w:t>Spatial Development Plan, special uses are defined, such as personal hygiene areas, changing rooms, guardhouse, canteen, tanks, pumping stations, etc., as well as outdoor parking.</w:t>
      </w:r>
    </w:p>
    <w:p w14:paraId="38681D7F" w14:textId="77777777" w:rsidR="000B110C" w:rsidRDefault="000B110C" w:rsidP="00995BB7">
      <w:pPr>
        <w:pStyle w:val="ListParagraph"/>
        <w:spacing w:line="240" w:lineRule="auto"/>
        <w:jc w:val="both"/>
        <w:rPr>
          <w:rFonts w:ascii="Calibri" w:hAnsi="Calibri" w:cs="Calibri"/>
          <w:bCs/>
          <w:color w:val="000000"/>
        </w:rPr>
      </w:pPr>
    </w:p>
    <w:p w14:paraId="74A64949" w14:textId="4EA92B68" w:rsidR="00995BB7" w:rsidRDefault="001D1BE2" w:rsidP="00400FE1">
      <w:pPr>
        <w:pStyle w:val="ListParagraph"/>
        <w:spacing w:line="240" w:lineRule="auto"/>
        <w:jc w:val="both"/>
        <w:rPr>
          <w:rFonts w:ascii="Calibri" w:hAnsi="Calibri" w:cs="Calibri"/>
          <w:bCs/>
          <w:color w:val="000000"/>
        </w:rPr>
      </w:pPr>
      <w:r w:rsidRPr="001D1BE2">
        <w:rPr>
          <w:rFonts w:ascii="Calibri" w:hAnsi="Calibri" w:cs="Calibri"/>
          <w:bCs/>
          <w:color w:val="000000"/>
        </w:rPr>
        <w:t xml:space="preserve">Following the submission of the Preferred Investor's Letter of Guarantee and the supporting documents provided for in the Invitation to Tender dated 21.04.2023, the </w:t>
      </w:r>
      <w:r w:rsidR="00B95CB2">
        <w:rPr>
          <w:rFonts w:ascii="Calibri" w:hAnsi="Calibri" w:cs="Calibri"/>
          <w:bCs/>
          <w:color w:val="000000"/>
        </w:rPr>
        <w:t>Board of Directors</w:t>
      </w:r>
      <w:r w:rsidRPr="001D1BE2">
        <w:rPr>
          <w:rFonts w:ascii="Calibri" w:hAnsi="Calibri" w:cs="Calibri"/>
          <w:bCs/>
          <w:color w:val="000000"/>
        </w:rPr>
        <w:t xml:space="preserve"> will declare</w:t>
      </w:r>
      <w:r w:rsidR="00B95CB2">
        <w:rPr>
          <w:rFonts w:ascii="Calibri" w:hAnsi="Calibri" w:cs="Calibri"/>
          <w:bCs/>
          <w:color w:val="000000"/>
        </w:rPr>
        <w:t xml:space="preserve"> the Preferred Investor as</w:t>
      </w:r>
      <w:r w:rsidRPr="001D1BE2">
        <w:rPr>
          <w:rFonts w:ascii="Calibri" w:hAnsi="Calibri" w:cs="Calibri"/>
          <w:bCs/>
          <w:color w:val="000000"/>
        </w:rPr>
        <w:t xml:space="preserve"> the Highest Bidder</w:t>
      </w:r>
      <w:r w:rsidR="00B95CB2">
        <w:rPr>
          <w:rFonts w:ascii="Calibri" w:hAnsi="Calibri" w:cs="Calibri"/>
          <w:bCs/>
          <w:color w:val="000000"/>
        </w:rPr>
        <w:t>.</w:t>
      </w:r>
      <w:r w:rsidRPr="001D1BE2">
        <w:rPr>
          <w:rFonts w:ascii="Calibri" w:hAnsi="Calibri" w:cs="Calibri"/>
          <w:bCs/>
          <w:color w:val="000000"/>
        </w:rPr>
        <w:t xml:space="preserve"> </w:t>
      </w:r>
      <w:r w:rsidR="00B95CB2">
        <w:rPr>
          <w:rFonts w:ascii="Calibri" w:hAnsi="Calibri" w:cs="Calibri"/>
          <w:bCs/>
          <w:color w:val="000000"/>
        </w:rPr>
        <w:t>S</w:t>
      </w:r>
      <w:r w:rsidR="00400FE1">
        <w:rPr>
          <w:rFonts w:ascii="Calibri" w:hAnsi="Calibri" w:cs="Calibri"/>
          <w:bCs/>
          <w:color w:val="000000"/>
        </w:rPr>
        <w:t>ubsequently</w:t>
      </w:r>
      <w:r w:rsidR="00B95CB2">
        <w:rPr>
          <w:rFonts w:ascii="Calibri" w:hAnsi="Calibri" w:cs="Calibri"/>
          <w:bCs/>
          <w:color w:val="000000"/>
        </w:rPr>
        <w:t>,</w:t>
      </w:r>
      <w:r w:rsidR="00400FE1">
        <w:rPr>
          <w:rFonts w:ascii="Calibri" w:hAnsi="Calibri" w:cs="Calibri"/>
          <w:bCs/>
          <w:color w:val="000000"/>
        </w:rPr>
        <w:t xml:space="preserve"> t</w:t>
      </w:r>
      <w:r w:rsidR="00995BB7" w:rsidRPr="00400FE1">
        <w:rPr>
          <w:rFonts w:ascii="Calibri" w:hAnsi="Calibri" w:cs="Calibri"/>
          <w:bCs/>
          <w:color w:val="000000"/>
        </w:rPr>
        <w:t>he file of the tender will be submitted to the Court of Auditors for pre-contractual audit, while the transaction documents will be signed after the approval of the Court.</w:t>
      </w:r>
    </w:p>
    <w:p w14:paraId="25CBC7EE" w14:textId="77777777" w:rsidR="00043A35" w:rsidRPr="00400FE1" w:rsidRDefault="00043A35" w:rsidP="00400FE1">
      <w:pPr>
        <w:pStyle w:val="ListParagraph"/>
        <w:spacing w:line="240" w:lineRule="auto"/>
        <w:jc w:val="both"/>
        <w:rPr>
          <w:rFonts w:ascii="Calibri" w:hAnsi="Calibri" w:cs="Calibri"/>
          <w:bCs/>
          <w:color w:val="000000"/>
        </w:rPr>
      </w:pPr>
    </w:p>
    <w:p w14:paraId="23F8B87C" w14:textId="7A5DCB97" w:rsidR="00B3118A" w:rsidRPr="008D776D" w:rsidRDefault="00D216D6" w:rsidP="008D776D">
      <w:pPr>
        <w:pStyle w:val="ListParagraph"/>
        <w:numPr>
          <w:ilvl w:val="0"/>
          <w:numId w:val="1"/>
        </w:numPr>
        <w:spacing w:line="240" w:lineRule="auto"/>
        <w:jc w:val="both"/>
        <w:rPr>
          <w:rFonts w:ascii="Calibri" w:hAnsi="Calibri" w:cs="Calibri"/>
          <w:b/>
          <w:color w:val="000000"/>
        </w:rPr>
      </w:pPr>
      <w:r w:rsidRPr="008D776D">
        <w:rPr>
          <w:rFonts w:ascii="Calibri" w:hAnsi="Calibri" w:cs="Calibri"/>
          <w:b/>
          <w:color w:val="000000"/>
        </w:rPr>
        <w:t xml:space="preserve">The </w:t>
      </w:r>
      <w:r w:rsidR="003634F4" w:rsidRPr="008D776D">
        <w:rPr>
          <w:rFonts w:ascii="Calibri" w:hAnsi="Calibri" w:cs="Calibri"/>
          <w:b/>
          <w:color w:val="000000"/>
        </w:rPr>
        <w:t xml:space="preserve">declaration of </w:t>
      </w:r>
      <w:r w:rsidR="00043A35">
        <w:rPr>
          <w:rFonts w:ascii="Calibri" w:hAnsi="Calibri" w:cs="Calibri"/>
          <w:b/>
          <w:color w:val="000000"/>
        </w:rPr>
        <w:t>the</w:t>
      </w:r>
      <w:r w:rsidR="002A7F48" w:rsidRPr="008D776D">
        <w:rPr>
          <w:rFonts w:ascii="Calibri" w:hAnsi="Calibri" w:cs="Calibri"/>
          <w:b/>
          <w:color w:val="000000"/>
        </w:rPr>
        <w:t xml:space="preserve"> </w:t>
      </w:r>
      <w:r w:rsidR="003634F4" w:rsidRPr="008D776D">
        <w:rPr>
          <w:rFonts w:ascii="Calibri" w:hAnsi="Calibri" w:cs="Calibri"/>
          <w:b/>
          <w:color w:val="000000"/>
        </w:rPr>
        <w:t>tender for the development of the pro</w:t>
      </w:r>
      <w:r w:rsidR="00ED307B" w:rsidRPr="008D776D">
        <w:rPr>
          <w:rFonts w:ascii="Calibri" w:hAnsi="Calibri" w:cs="Calibri"/>
          <w:b/>
          <w:color w:val="000000"/>
        </w:rPr>
        <w:t xml:space="preserve">perty in the area of </w:t>
      </w:r>
      <w:r w:rsidR="00334A22" w:rsidRPr="008D776D">
        <w:rPr>
          <w:rFonts w:ascii="Calibri" w:hAnsi="Calibri" w:cs="Calibri"/>
          <w:b/>
          <w:color w:val="000000"/>
        </w:rPr>
        <w:t>“Ververonta”, Porto Heli</w:t>
      </w:r>
      <w:r w:rsidR="00043A35">
        <w:rPr>
          <w:rFonts w:ascii="Calibri" w:hAnsi="Calibri" w:cs="Calibri"/>
          <w:b/>
          <w:color w:val="000000"/>
        </w:rPr>
        <w:t xml:space="preserve"> as unsuccessful. </w:t>
      </w:r>
    </w:p>
    <w:p w14:paraId="22A0B9C2" w14:textId="77777777" w:rsidR="00334A22" w:rsidRDefault="00334A22" w:rsidP="00334A22">
      <w:pPr>
        <w:pStyle w:val="ListParagraph"/>
        <w:spacing w:line="240" w:lineRule="auto"/>
        <w:jc w:val="both"/>
        <w:rPr>
          <w:rFonts w:ascii="Calibri" w:hAnsi="Calibri" w:cs="Calibri"/>
          <w:b/>
          <w:color w:val="000000"/>
        </w:rPr>
      </w:pPr>
    </w:p>
    <w:p w14:paraId="23EEFF13" w14:textId="78E25E44" w:rsidR="00AB7C3C" w:rsidRPr="00F53424" w:rsidRDefault="00AB7C3C" w:rsidP="00F53424">
      <w:pPr>
        <w:pStyle w:val="ListParagraph"/>
        <w:spacing w:line="240" w:lineRule="auto"/>
        <w:jc w:val="both"/>
        <w:rPr>
          <w:rFonts w:ascii="Calibri" w:hAnsi="Calibri" w:cs="Calibri"/>
          <w:bCs/>
          <w:color w:val="000000"/>
        </w:rPr>
      </w:pPr>
      <w:r>
        <w:rPr>
          <w:rFonts w:ascii="Calibri" w:hAnsi="Calibri" w:cs="Calibri"/>
          <w:bCs/>
          <w:color w:val="000000"/>
        </w:rPr>
        <w:t xml:space="preserve">The improved offer submitted by “GOUTOS BUILDING L.P.” </w:t>
      </w:r>
      <w:r w:rsidR="00E369BB">
        <w:rPr>
          <w:rFonts w:ascii="Calibri" w:hAnsi="Calibri" w:cs="Calibri"/>
          <w:bCs/>
          <w:color w:val="000000"/>
        </w:rPr>
        <w:t xml:space="preserve">was </w:t>
      </w:r>
      <w:r w:rsidR="00043A35">
        <w:rPr>
          <w:rFonts w:ascii="Calibri" w:hAnsi="Calibri" w:cs="Calibri"/>
          <w:bCs/>
          <w:color w:val="000000"/>
        </w:rPr>
        <w:t>significantly</w:t>
      </w:r>
      <w:r w:rsidR="00E369BB">
        <w:rPr>
          <w:rFonts w:ascii="Calibri" w:hAnsi="Calibri" w:cs="Calibri"/>
          <w:bCs/>
          <w:color w:val="000000"/>
        </w:rPr>
        <w:t xml:space="preserve"> below the independent</w:t>
      </w:r>
      <w:r>
        <w:rPr>
          <w:rFonts w:ascii="Calibri" w:hAnsi="Calibri" w:cs="Calibri"/>
          <w:bCs/>
          <w:color w:val="000000"/>
        </w:rPr>
        <w:t xml:space="preserve"> </w:t>
      </w:r>
      <w:r w:rsidR="00E369BB">
        <w:rPr>
          <w:rFonts w:ascii="Calibri" w:hAnsi="Calibri" w:cs="Calibri"/>
          <w:bCs/>
          <w:color w:val="000000"/>
        </w:rPr>
        <w:t>e</w:t>
      </w:r>
      <w:r>
        <w:rPr>
          <w:rFonts w:ascii="Calibri" w:hAnsi="Calibri" w:cs="Calibri"/>
          <w:bCs/>
          <w:color w:val="000000"/>
        </w:rPr>
        <w:t xml:space="preserve">valuation </w:t>
      </w:r>
      <w:r w:rsidR="00E369BB">
        <w:rPr>
          <w:rFonts w:ascii="Calibri" w:hAnsi="Calibri" w:cs="Calibri"/>
          <w:bCs/>
          <w:color w:val="000000"/>
        </w:rPr>
        <w:t>regarding</w:t>
      </w:r>
      <w:r>
        <w:rPr>
          <w:rFonts w:ascii="Calibri" w:hAnsi="Calibri" w:cs="Calibri"/>
          <w:bCs/>
          <w:color w:val="000000"/>
        </w:rPr>
        <w:t xml:space="preserve"> the property.</w:t>
      </w:r>
    </w:p>
    <w:p w14:paraId="2EF48D6F" w14:textId="6D7003F5" w:rsidR="00E44D21" w:rsidRPr="00E44D21" w:rsidRDefault="00AB7C3C" w:rsidP="00E44D21">
      <w:pPr>
        <w:pStyle w:val="ListParagraph"/>
        <w:spacing w:line="240" w:lineRule="auto"/>
        <w:jc w:val="both"/>
        <w:rPr>
          <w:rFonts w:ascii="Calibri" w:hAnsi="Calibri" w:cs="Calibri"/>
          <w:bCs/>
          <w:color w:val="000000"/>
        </w:rPr>
      </w:pPr>
      <w:r>
        <w:rPr>
          <w:rFonts w:ascii="Calibri" w:hAnsi="Calibri" w:cs="Calibri"/>
          <w:bCs/>
          <w:color w:val="000000"/>
        </w:rPr>
        <w:br/>
      </w:r>
      <w:r w:rsidR="00E44D21" w:rsidRPr="00E44D21">
        <w:rPr>
          <w:rFonts w:ascii="Calibri" w:hAnsi="Calibri" w:cs="Calibri"/>
        </w:rPr>
        <w:t>The property is a non-seaside plot, with panoramic views of the Argolic Gulf and covers an area of 627.417,92 square meters. It is located approximately 500 meters from the center of the settlement of Porto Heli and 300 meters from the Ververonta lagoon and the coast of Porto Heli Bay.</w:t>
      </w:r>
    </w:p>
    <w:p w14:paraId="195E1A15" w14:textId="77777777" w:rsidR="00DA6FC8" w:rsidRDefault="00DA6FC8" w:rsidP="00C66ED7">
      <w:pPr>
        <w:pStyle w:val="ListParagraph"/>
        <w:spacing w:line="240" w:lineRule="auto"/>
        <w:jc w:val="both"/>
        <w:rPr>
          <w:rFonts w:ascii="Calibri" w:hAnsi="Calibri" w:cs="Calibri"/>
          <w:bCs/>
          <w:color w:val="000000"/>
        </w:rPr>
      </w:pPr>
    </w:p>
    <w:p w14:paraId="4CBC19A7" w14:textId="7C7B00FE" w:rsidR="002E1D91" w:rsidRPr="002E1D91" w:rsidRDefault="00726D4D" w:rsidP="002E1D91">
      <w:pPr>
        <w:pStyle w:val="ListParagraph"/>
        <w:spacing w:line="240" w:lineRule="auto"/>
        <w:jc w:val="both"/>
        <w:rPr>
          <w:rFonts w:ascii="Calibri" w:hAnsi="Calibri" w:cs="Calibri"/>
          <w:bCs/>
          <w:color w:val="000000"/>
        </w:rPr>
      </w:pPr>
      <w:r>
        <w:rPr>
          <w:rFonts w:ascii="Calibri" w:hAnsi="Calibri" w:cs="Calibri"/>
          <w:bCs/>
          <w:color w:val="000000"/>
        </w:rPr>
        <w:t>T</w:t>
      </w:r>
      <w:r w:rsidR="002C6478" w:rsidRPr="002C6478">
        <w:rPr>
          <w:rFonts w:ascii="Calibri" w:hAnsi="Calibri" w:cs="Calibri"/>
          <w:bCs/>
          <w:color w:val="000000"/>
        </w:rPr>
        <w:t xml:space="preserve">he Board of Directors of HRADF </w:t>
      </w:r>
      <w:r w:rsidR="00043A35">
        <w:rPr>
          <w:rFonts w:ascii="Calibri" w:hAnsi="Calibri" w:cs="Calibri"/>
          <w:bCs/>
          <w:color w:val="000000"/>
        </w:rPr>
        <w:t>will</w:t>
      </w:r>
      <w:r w:rsidR="002C6478" w:rsidRPr="002C6478">
        <w:rPr>
          <w:rFonts w:ascii="Calibri" w:hAnsi="Calibri" w:cs="Calibri"/>
          <w:bCs/>
          <w:color w:val="000000"/>
        </w:rPr>
        <w:t xml:space="preserve"> approve</w:t>
      </w:r>
      <w:r w:rsidR="00043A35">
        <w:rPr>
          <w:rFonts w:ascii="Calibri" w:hAnsi="Calibri" w:cs="Calibri"/>
          <w:bCs/>
          <w:color w:val="000000"/>
        </w:rPr>
        <w:t xml:space="preserve"> in the near future</w:t>
      </w:r>
      <w:r w:rsidR="002C6478" w:rsidRPr="002C6478">
        <w:rPr>
          <w:rFonts w:ascii="Calibri" w:hAnsi="Calibri" w:cs="Calibri"/>
          <w:bCs/>
          <w:color w:val="000000"/>
        </w:rPr>
        <w:t xml:space="preserve"> the </w:t>
      </w:r>
      <w:r w:rsidR="00043A35">
        <w:rPr>
          <w:rFonts w:ascii="Calibri" w:hAnsi="Calibri" w:cs="Calibri"/>
          <w:bCs/>
          <w:color w:val="000000"/>
        </w:rPr>
        <w:t>launch</w:t>
      </w:r>
      <w:r w:rsidR="002C6478" w:rsidRPr="002C6478">
        <w:rPr>
          <w:rFonts w:ascii="Calibri" w:hAnsi="Calibri" w:cs="Calibri"/>
          <w:bCs/>
          <w:color w:val="000000"/>
        </w:rPr>
        <w:t xml:space="preserve"> of a new tender for the development of the property.  </w:t>
      </w:r>
    </w:p>
    <w:p w14:paraId="25640AEA" w14:textId="77777777" w:rsidR="00C66ED7" w:rsidRDefault="00C66ED7" w:rsidP="00334A22">
      <w:pPr>
        <w:pStyle w:val="ListParagraph"/>
        <w:spacing w:line="240" w:lineRule="auto"/>
        <w:jc w:val="both"/>
        <w:rPr>
          <w:rFonts w:ascii="Calibri" w:hAnsi="Calibri" w:cs="Calibri"/>
          <w:bCs/>
          <w:color w:val="000000"/>
        </w:rPr>
      </w:pPr>
    </w:p>
    <w:p w14:paraId="47C7AC16" w14:textId="77777777" w:rsidR="00BF130B" w:rsidRDefault="00BF130B" w:rsidP="00334A22">
      <w:pPr>
        <w:pStyle w:val="ListParagraph"/>
        <w:spacing w:line="240" w:lineRule="auto"/>
        <w:jc w:val="both"/>
        <w:rPr>
          <w:rFonts w:ascii="Calibri" w:hAnsi="Calibri" w:cs="Calibri"/>
          <w:bCs/>
          <w:color w:val="000000"/>
        </w:rPr>
      </w:pPr>
    </w:p>
    <w:p w14:paraId="6C5E629A" w14:textId="77777777" w:rsidR="00BF130B" w:rsidRDefault="00BF130B" w:rsidP="00334A22">
      <w:pPr>
        <w:pStyle w:val="ListParagraph"/>
        <w:spacing w:line="240" w:lineRule="auto"/>
        <w:jc w:val="both"/>
        <w:rPr>
          <w:rFonts w:ascii="Calibri" w:hAnsi="Calibri" w:cs="Calibri"/>
          <w:bCs/>
          <w:color w:val="000000"/>
        </w:rPr>
      </w:pPr>
    </w:p>
    <w:p w14:paraId="479E0298" w14:textId="77777777" w:rsidR="00BF130B" w:rsidRPr="00BF130B" w:rsidRDefault="00BF130B" w:rsidP="00BF130B">
      <w:pPr>
        <w:jc w:val="both"/>
        <w:rPr>
          <w:rFonts w:ascii="Calibri" w:eastAsia="Times New Roman" w:hAnsi="Calibri" w:cs="Calibri"/>
          <w:bCs/>
          <w:sz w:val="20"/>
          <w:szCs w:val="20"/>
          <w:lang w:val="en-GB"/>
        </w:rPr>
      </w:pPr>
      <w:r w:rsidRPr="00BF130B">
        <w:rPr>
          <w:rFonts w:ascii="Calibri" w:hAnsi="Calibri" w:cs="Calibri"/>
          <w:sz w:val="20"/>
          <w:szCs w:val="20"/>
        </w:rPr>
        <w:t xml:space="preserve">Please refer to the Fund's </w:t>
      </w:r>
      <w:hyperlink r:id="rId7" w:history="1">
        <w:r w:rsidRPr="00BF130B">
          <w:rPr>
            <w:rStyle w:val="Hyperlink"/>
            <w:rFonts w:ascii="Calibri" w:hAnsi="Calibri" w:cs="Calibri"/>
            <w:sz w:val="20"/>
            <w:szCs w:val="20"/>
          </w:rPr>
          <w:t>website</w:t>
        </w:r>
      </w:hyperlink>
      <w:r w:rsidRPr="00BF130B">
        <w:rPr>
          <w:rFonts w:ascii="Calibri" w:hAnsi="Calibri" w:cs="Calibri"/>
          <w:sz w:val="20"/>
          <w:szCs w:val="20"/>
        </w:rPr>
        <w:t xml:space="preserve"> for more information and updates regarding the Hellenic Republic Asset Development Fund (HRADF</w:t>
      </w:r>
      <w:r w:rsidRPr="00BF130B">
        <w:rPr>
          <w:rFonts w:ascii="Calibri" w:hAnsi="Calibri" w:cs="Calibri"/>
          <w:sz w:val="20"/>
          <w:szCs w:val="20"/>
          <w:lang w:val="en-GB"/>
        </w:rPr>
        <w:t>).</w:t>
      </w:r>
    </w:p>
    <w:p w14:paraId="13D649E7" w14:textId="77777777" w:rsidR="00BF130B" w:rsidRPr="00BF130B" w:rsidRDefault="00BF130B" w:rsidP="00BF130B">
      <w:pPr>
        <w:jc w:val="both"/>
        <w:rPr>
          <w:rFonts w:ascii="Calibri" w:hAnsi="Calibri" w:cs="Calibri"/>
          <w:sz w:val="20"/>
          <w:szCs w:val="20"/>
          <w:u w:val="single"/>
        </w:rPr>
      </w:pPr>
      <w:r w:rsidRPr="00BF130B">
        <w:rPr>
          <w:rFonts w:ascii="Calibri" w:hAnsi="Calibri" w:cs="Calibri"/>
          <w:b/>
          <w:sz w:val="20"/>
          <w:szCs w:val="20"/>
        </w:rPr>
        <w:t>Information for the Press:</w:t>
      </w:r>
      <w:r w:rsidRPr="00BF130B">
        <w:rPr>
          <w:rFonts w:ascii="Calibri" w:hAnsi="Calibri" w:cs="Calibri"/>
          <w:sz w:val="20"/>
          <w:szCs w:val="20"/>
        </w:rPr>
        <w:t xml:space="preserve"> </w:t>
      </w:r>
      <w:r w:rsidRPr="00BF130B">
        <w:rPr>
          <w:rFonts w:ascii="Calibri" w:hAnsi="Calibri" w:cs="Calibri"/>
          <w:color w:val="000000" w:themeColor="text1"/>
          <w:sz w:val="20"/>
          <w:szCs w:val="20"/>
        </w:rPr>
        <w:t>Αchilleas Topas</w:t>
      </w:r>
      <w:r w:rsidRPr="00BF130B">
        <w:rPr>
          <w:rFonts w:ascii="Calibri" w:hAnsi="Calibri" w:cs="Calibri"/>
          <w:sz w:val="20"/>
          <w:szCs w:val="20"/>
        </w:rPr>
        <w:t xml:space="preserve">, Τel </w:t>
      </w:r>
      <w:r w:rsidRPr="00BF130B">
        <w:rPr>
          <w:rFonts w:ascii="Calibri" w:hAnsi="Calibri" w:cs="Calibri"/>
          <w:color w:val="000000" w:themeColor="text1"/>
          <w:sz w:val="20"/>
          <w:szCs w:val="20"/>
        </w:rPr>
        <w:t>+30 6944902085</w:t>
      </w:r>
      <w:r w:rsidRPr="00BF130B">
        <w:rPr>
          <w:rFonts w:ascii="Calibri" w:hAnsi="Calibri" w:cs="Calibri"/>
          <w:sz w:val="20"/>
          <w:szCs w:val="20"/>
        </w:rPr>
        <w:t xml:space="preserve">, Email </w:t>
      </w:r>
      <w:hyperlink r:id="rId8" w:history="1">
        <w:r w:rsidRPr="00BF130B">
          <w:rPr>
            <w:rStyle w:val="Hyperlink"/>
            <w:rFonts w:ascii="Calibri" w:hAnsi="Calibri" w:cs="Calibri"/>
            <w:sz w:val="20"/>
            <w:szCs w:val="20"/>
          </w:rPr>
          <w:t>press@hraf.gr</w:t>
        </w:r>
      </w:hyperlink>
      <w:r w:rsidRPr="00BF130B">
        <w:rPr>
          <w:rFonts w:ascii="Calibri" w:hAnsi="Calibri" w:cs="Calibri"/>
          <w:sz w:val="20"/>
          <w:szCs w:val="20"/>
        </w:rPr>
        <w:t xml:space="preserve"> &amp; </w:t>
      </w:r>
      <w:r w:rsidRPr="00BF130B">
        <w:rPr>
          <w:rStyle w:val="Hyperlink"/>
          <w:rFonts w:ascii="Calibri" w:hAnsi="Calibri" w:cs="Calibri"/>
          <w:sz w:val="20"/>
          <w:szCs w:val="20"/>
        </w:rPr>
        <w:t>atopas@hraf.gr</w:t>
      </w:r>
    </w:p>
    <w:p w14:paraId="2CC4BA89" w14:textId="77777777" w:rsidR="000B0204" w:rsidRPr="009C594A" w:rsidRDefault="000B0204" w:rsidP="00334A22">
      <w:pPr>
        <w:pStyle w:val="ListParagraph"/>
        <w:spacing w:line="240" w:lineRule="auto"/>
        <w:jc w:val="both"/>
        <w:rPr>
          <w:rFonts w:ascii="Calibri" w:hAnsi="Calibri" w:cs="Calibri"/>
          <w:bCs/>
          <w:color w:val="000000"/>
        </w:rPr>
      </w:pPr>
    </w:p>
    <w:p w14:paraId="5D900059" w14:textId="77777777" w:rsidR="00B0731D" w:rsidRPr="009C594A" w:rsidRDefault="00B0731D" w:rsidP="00B0731D">
      <w:pPr>
        <w:jc w:val="both"/>
        <w:rPr>
          <w:rFonts w:ascii="Calibri" w:hAnsi="Calibri" w:cs="Calibri"/>
        </w:rPr>
      </w:pPr>
    </w:p>
    <w:sectPr w:rsidR="00B0731D" w:rsidRPr="009C594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DCF3" w14:textId="77777777" w:rsidR="002B2CDC" w:rsidRDefault="002B2CDC" w:rsidP="00B0731D">
      <w:pPr>
        <w:spacing w:after="0" w:line="240" w:lineRule="auto"/>
      </w:pPr>
      <w:r>
        <w:separator/>
      </w:r>
    </w:p>
  </w:endnote>
  <w:endnote w:type="continuationSeparator" w:id="0">
    <w:p w14:paraId="795222F8" w14:textId="77777777" w:rsidR="002B2CDC" w:rsidRDefault="002B2CDC" w:rsidP="00B0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73E8" w14:textId="77777777" w:rsidR="002B2CDC" w:rsidRDefault="002B2CDC" w:rsidP="00B0731D">
      <w:pPr>
        <w:spacing w:after="0" w:line="240" w:lineRule="auto"/>
      </w:pPr>
      <w:r>
        <w:separator/>
      </w:r>
    </w:p>
  </w:footnote>
  <w:footnote w:type="continuationSeparator" w:id="0">
    <w:p w14:paraId="13FE06B7" w14:textId="77777777" w:rsidR="002B2CDC" w:rsidRDefault="002B2CDC" w:rsidP="00B0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66D6" w14:textId="5EE3DB41" w:rsidR="00B0731D" w:rsidRDefault="00B0731D" w:rsidP="00B0731D">
    <w:pPr>
      <w:pStyle w:val="Header"/>
      <w:jc w:val="center"/>
    </w:pPr>
    <w:r>
      <w:rPr>
        <w:noProof/>
      </w:rPr>
      <w:drawing>
        <wp:inline distT="0" distB="0" distL="0" distR="0" wp14:anchorId="6ECA1AA6" wp14:editId="5A6D5162">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A44BD"/>
    <w:multiLevelType w:val="hybridMultilevel"/>
    <w:tmpl w:val="4E8CB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00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1D"/>
    <w:rsid w:val="00043A35"/>
    <w:rsid w:val="000530A0"/>
    <w:rsid w:val="00067ECA"/>
    <w:rsid w:val="000A6701"/>
    <w:rsid w:val="000B0204"/>
    <w:rsid w:val="000B110C"/>
    <w:rsid w:val="000B3F25"/>
    <w:rsid w:val="000D5E9B"/>
    <w:rsid w:val="000D7BA8"/>
    <w:rsid w:val="001107B3"/>
    <w:rsid w:val="00112729"/>
    <w:rsid w:val="00165459"/>
    <w:rsid w:val="001A0524"/>
    <w:rsid w:val="001A5DE2"/>
    <w:rsid w:val="001D1BE2"/>
    <w:rsid w:val="001E1399"/>
    <w:rsid w:val="00220C72"/>
    <w:rsid w:val="00222A82"/>
    <w:rsid w:val="0026121E"/>
    <w:rsid w:val="00281F40"/>
    <w:rsid w:val="002A7F48"/>
    <w:rsid w:val="002B2CDC"/>
    <w:rsid w:val="002C6478"/>
    <w:rsid w:val="002E084A"/>
    <w:rsid w:val="002E1D91"/>
    <w:rsid w:val="002E2B09"/>
    <w:rsid w:val="00334A22"/>
    <w:rsid w:val="003634F4"/>
    <w:rsid w:val="003B3304"/>
    <w:rsid w:val="003C1F83"/>
    <w:rsid w:val="003E0C24"/>
    <w:rsid w:val="00400179"/>
    <w:rsid w:val="00400FE1"/>
    <w:rsid w:val="00413E07"/>
    <w:rsid w:val="0046699C"/>
    <w:rsid w:val="00490BDE"/>
    <w:rsid w:val="004913D5"/>
    <w:rsid w:val="004B7318"/>
    <w:rsid w:val="004E6F95"/>
    <w:rsid w:val="0053756C"/>
    <w:rsid w:val="00543F1D"/>
    <w:rsid w:val="00546569"/>
    <w:rsid w:val="005A4696"/>
    <w:rsid w:val="00632EAF"/>
    <w:rsid w:val="00693AE7"/>
    <w:rsid w:val="006C6D68"/>
    <w:rsid w:val="00703135"/>
    <w:rsid w:val="00726D4D"/>
    <w:rsid w:val="00761020"/>
    <w:rsid w:val="00773DC5"/>
    <w:rsid w:val="007C2F1C"/>
    <w:rsid w:val="008041E2"/>
    <w:rsid w:val="00820783"/>
    <w:rsid w:val="00897D0B"/>
    <w:rsid w:val="008D776D"/>
    <w:rsid w:val="008E3B78"/>
    <w:rsid w:val="00915FC8"/>
    <w:rsid w:val="009302C4"/>
    <w:rsid w:val="009324A2"/>
    <w:rsid w:val="00995BB7"/>
    <w:rsid w:val="009A4B18"/>
    <w:rsid w:val="009B29F0"/>
    <w:rsid w:val="009C594A"/>
    <w:rsid w:val="00A0550A"/>
    <w:rsid w:val="00A06E29"/>
    <w:rsid w:val="00A07199"/>
    <w:rsid w:val="00A362B8"/>
    <w:rsid w:val="00A67B49"/>
    <w:rsid w:val="00A75233"/>
    <w:rsid w:val="00AB7C3C"/>
    <w:rsid w:val="00B0731D"/>
    <w:rsid w:val="00B210BF"/>
    <w:rsid w:val="00B3118A"/>
    <w:rsid w:val="00B4020F"/>
    <w:rsid w:val="00B8543F"/>
    <w:rsid w:val="00B95CB2"/>
    <w:rsid w:val="00BB4699"/>
    <w:rsid w:val="00BF130B"/>
    <w:rsid w:val="00C36BC3"/>
    <w:rsid w:val="00C66ED7"/>
    <w:rsid w:val="00C8354C"/>
    <w:rsid w:val="00C903D3"/>
    <w:rsid w:val="00D216D6"/>
    <w:rsid w:val="00D70B59"/>
    <w:rsid w:val="00D83873"/>
    <w:rsid w:val="00D961C2"/>
    <w:rsid w:val="00DA6FC8"/>
    <w:rsid w:val="00E014DC"/>
    <w:rsid w:val="00E34451"/>
    <w:rsid w:val="00E369BB"/>
    <w:rsid w:val="00E44D21"/>
    <w:rsid w:val="00EB3314"/>
    <w:rsid w:val="00EC2BDE"/>
    <w:rsid w:val="00ED307B"/>
    <w:rsid w:val="00ED77FB"/>
    <w:rsid w:val="00F23F0A"/>
    <w:rsid w:val="00F53424"/>
    <w:rsid w:val="00F53992"/>
    <w:rsid w:val="00F64BCC"/>
    <w:rsid w:val="00F73F67"/>
    <w:rsid w:val="00F805B7"/>
    <w:rsid w:val="00FB3558"/>
    <w:rsid w:val="00FD73B9"/>
    <w:rsid w:val="00FE7230"/>
    <w:rsid w:val="00FF4E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E3D9"/>
  <w15:chartTrackingRefBased/>
  <w15:docId w15:val="{A494BEEB-B238-49C9-A51D-7E254D84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7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7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31D"/>
    <w:rPr>
      <w:rFonts w:eastAsiaTheme="majorEastAsia" w:cstheme="majorBidi"/>
      <w:color w:val="272727" w:themeColor="text1" w:themeTint="D8"/>
    </w:rPr>
  </w:style>
  <w:style w:type="paragraph" w:styleId="Title">
    <w:name w:val="Title"/>
    <w:basedOn w:val="Normal"/>
    <w:next w:val="Normal"/>
    <w:link w:val="TitleChar"/>
    <w:uiPriority w:val="10"/>
    <w:qFormat/>
    <w:rsid w:val="00B0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31D"/>
    <w:pPr>
      <w:spacing w:before="160"/>
      <w:jc w:val="center"/>
    </w:pPr>
    <w:rPr>
      <w:i/>
      <w:iCs/>
      <w:color w:val="404040" w:themeColor="text1" w:themeTint="BF"/>
    </w:rPr>
  </w:style>
  <w:style w:type="character" w:customStyle="1" w:styleId="QuoteChar">
    <w:name w:val="Quote Char"/>
    <w:basedOn w:val="DefaultParagraphFont"/>
    <w:link w:val="Quote"/>
    <w:uiPriority w:val="29"/>
    <w:rsid w:val="00B0731D"/>
    <w:rPr>
      <w:i/>
      <w:iCs/>
      <w:color w:val="404040" w:themeColor="text1" w:themeTint="BF"/>
    </w:rPr>
  </w:style>
  <w:style w:type="paragraph" w:styleId="ListParagraph">
    <w:name w:val="List Paragraph"/>
    <w:basedOn w:val="Normal"/>
    <w:uiPriority w:val="34"/>
    <w:qFormat/>
    <w:rsid w:val="00B0731D"/>
    <w:pPr>
      <w:ind w:left="720"/>
      <w:contextualSpacing/>
    </w:pPr>
  </w:style>
  <w:style w:type="character" w:styleId="IntenseEmphasis">
    <w:name w:val="Intense Emphasis"/>
    <w:basedOn w:val="DefaultParagraphFont"/>
    <w:uiPriority w:val="21"/>
    <w:qFormat/>
    <w:rsid w:val="00B0731D"/>
    <w:rPr>
      <w:i/>
      <w:iCs/>
      <w:color w:val="0F4761" w:themeColor="accent1" w:themeShade="BF"/>
    </w:rPr>
  </w:style>
  <w:style w:type="paragraph" w:styleId="IntenseQuote">
    <w:name w:val="Intense Quote"/>
    <w:basedOn w:val="Normal"/>
    <w:next w:val="Normal"/>
    <w:link w:val="IntenseQuoteChar"/>
    <w:uiPriority w:val="30"/>
    <w:qFormat/>
    <w:rsid w:val="00B07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31D"/>
    <w:rPr>
      <w:i/>
      <w:iCs/>
      <w:color w:val="0F4761" w:themeColor="accent1" w:themeShade="BF"/>
    </w:rPr>
  </w:style>
  <w:style w:type="character" w:styleId="IntenseReference">
    <w:name w:val="Intense Reference"/>
    <w:basedOn w:val="DefaultParagraphFont"/>
    <w:uiPriority w:val="32"/>
    <w:qFormat/>
    <w:rsid w:val="00B0731D"/>
    <w:rPr>
      <w:b/>
      <w:bCs/>
      <w:smallCaps/>
      <w:color w:val="0F4761" w:themeColor="accent1" w:themeShade="BF"/>
      <w:spacing w:val="5"/>
    </w:rPr>
  </w:style>
  <w:style w:type="paragraph" w:styleId="Header">
    <w:name w:val="header"/>
    <w:basedOn w:val="Normal"/>
    <w:link w:val="HeaderChar"/>
    <w:uiPriority w:val="99"/>
    <w:unhideWhenUsed/>
    <w:rsid w:val="00B07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1D"/>
  </w:style>
  <w:style w:type="paragraph" w:styleId="Footer">
    <w:name w:val="footer"/>
    <w:basedOn w:val="Normal"/>
    <w:link w:val="FooterChar"/>
    <w:uiPriority w:val="99"/>
    <w:unhideWhenUsed/>
    <w:rsid w:val="00B07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1D"/>
  </w:style>
  <w:style w:type="character" w:styleId="Hyperlink">
    <w:name w:val="Hyperlink"/>
    <w:uiPriority w:val="99"/>
    <w:rsid w:val="000B0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942481">
      <w:bodyDiv w:val="1"/>
      <w:marLeft w:val="0"/>
      <w:marRight w:val="0"/>
      <w:marTop w:val="0"/>
      <w:marBottom w:val="0"/>
      <w:divBdr>
        <w:top w:val="none" w:sz="0" w:space="0" w:color="auto"/>
        <w:left w:val="none" w:sz="0" w:space="0" w:color="auto"/>
        <w:bottom w:val="none" w:sz="0" w:space="0" w:color="auto"/>
        <w:right w:val="none" w:sz="0" w:space="0" w:color="auto"/>
      </w:divBdr>
    </w:div>
    <w:div w:id="15585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hraf.gr" TargetMode="External"/><Relationship Id="rId3" Type="http://schemas.openxmlformats.org/officeDocument/2006/relationships/settings" Target="settings.xml"/><Relationship Id="rId7" Type="http://schemas.openxmlformats.org/officeDocument/2006/relationships/hyperlink" Target="http://www.hrad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Faidra Economou</cp:lastModifiedBy>
  <cp:revision>3</cp:revision>
  <dcterms:created xsi:type="dcterms:W3CDTF">2024-02-29T15:02:00Z</dcterms:created>
  <dcterms:modified xsi:type="dcterms:W3CDTF">2024-02-29T15:03:00Z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2024-02-29T10:55:23Z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bb044f54-a27b-4dec-b707-803c10e861be</vt:lpwstr>
  </property>
  <property fmtid="{D5CDD505-2E9C-101B-9397-08002B2CF9AE}" pid="8" name="MSIP_Label_4a1cc303-c827-4bc8-8096-cfbe6c892f41_ContentBits">
    <vt:lpwstr>0</vt:lpwstr>
  </property>
</Properties>
</file>