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B9CF9" w14:textId="77777777" w:rsidR="00D27858" w:rsidRPr="0061661D" w:rsidRDefault="00D27858" w:rsidP="00D27858">
      <w:pPr>
        <w:tabs>
          <w:tab w:val="left" w:pos="142"/>
        </w:tabs>
        <w:spacing w:after="0" w:line="264" w:lineRule="auto"/>
        <w:rPr>
          <w:rFonts w:ascii="Segoe UI" w:hAnsi="Segoe UI" w:cs="Segoe UI"/>
          <w:b/>
          <w:bCs/>
          <w:i/>
          <w:iCs/>
          <w:sz w:val="18"/>
          <w:szCs w:val="18"/>
          <w:u w:val="single"/>
          <w:lang w:val="en-US"/>
        </w:rPr>
      </w:pPr>
    </w:p>
    <w:p w14:paraId="7660D684" w14:textId="6A13A51A" w:rsidR="004E5362" w:rsidRPr="0061661D" w:rsidRDefault="00891803" w:rsidP="004E5362">
      <w:pPr>
        <w:pStyle w:val="BodyText"/>
        <w:spacing w:before="56"/>
        <w:ind w:left="140"/>
        <w:jc w:val="left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Athens, </w:t>
      </w:r>
      <w:r w:rsidR="00097F30">
        <w:rPr>
          <w:rFonts w:ascii="Segoe UI" w:hAnsi="Segoe UI" w:cs="Segoe UI"/>
          <w:b/>
          <w:bCs/>
          <w:sz w:val="20"/>
          <w:szCs w:val="20"/>
          <w:lang w:val="en-US"/>
        </w:rPr>
        <w:t>March 31</w:t>
      </w:r>
      <w:r w:rsidR="00E56B4C">
        <w:rPr>
          <w:rFonts w:ascii="Segoe UI" w:hAnsi="Segoe UI" w:cs="Segoe UI"/>
          <w:b/>
          <w:bCs/>
          <w:sz w:val="20"/>
          <w:szCs w:val="20"/>
        </w:rPr>
        <w:t>, 2025</w:t>
      </w:r>
    </w:p>
    <w:p w14:paraId="7C127C30" w14:textId="77777777" w:rsidR="004E5362" w:rsidRPr="000E365F" w:rsidRDefault="004E5362" w:rsidP="004E5362">
      <w:pPr>
        <w:rPr>
          <w:rFonts w:ascii="Segoe UI" w:hAnsi="Segoe UI" w:cs="Segoe UI"/>
          <w:b/>
          <w:sz w:val="20"/>
          <w:szCs w:val="20"/>
          <w:lang w:val="en-US"/>
        </w:rPr>
      </w:pPr>
    </w:p>
    <w:p w14:paraId="252E3A81" w14:textId="6EC5BA0E" w:rsidR="00097F30" w:rsidRPr="00486152" w:rsidRDefault="00A926DA" w:rsidP="00097F30">
      <w:pPr>
        <w:pStyle w:val="BodyText"/>
        <w:spacing w:before="56"/>
        <w:ind w:left="0"/>
        <w:jc w:val="center"/>
        <w:rPr>
          <w:rFonts w:ascii="Segoe UI" w:hAnsi="Segoe UI" w:cs="Segoe UI"/>
          <w:b/>
          <w:bCs/>
          <w:sz w:val="20"/>
          <w:szCs w:val="20"/>
          <w:lang w:val="en-US"/>
        </w:rPr>
      </w:pPr>
      <w:r>
        <w:rPr>
          <w:rFonts w:ascii="Segoe UI" w:hAnsi="Segoe UI" w:cs="Segoe UI"/>
          <w:b/>
          <w:bCs/>
          <w:sz w:val="20"/>
          <w:szCs w:val="20"/>
        </w:rPr>
        <w:t>Four (4)</w:t>
      </w:r>
      <w:r w:rsidR="00097F30" w:rsidRPr="00097F30">
        <w:rPr>
          <w:rFonts w:ascii="Segoe UI" w:hAnsi="Segoe UI" w:cs="Segoe UI"/>
          <w:b/>
          <w:bCs/>
          <w:sz w:val="20"/>
          <w:szCs w:val="20"/>
        </w:rPr>
        <w:t xml:space="preserve"> investment schemes </w:t>
      </w:r>
      <w:r w:rsidR="00DC676B">
        <w:rPr>
          <w:rFonts w:ascii="Segoe UI" w:hAnsi="Segoe UI" w:cs="Segoe UI"/>
          <w:b/>
          <w:bCs/>
          <w:sz w:val="20"/>
          <w:szCs w:val="20"/>
        </w:rPr>
        <w:t xml:space="preserve">expressed their interest </w:t>
      </w:r>
      <w:r w:rsidR="00876F86">
        <w:rPr>
          <w:rFonts w:ascii="Segoe UI" w:hAnsi="Segoe UI" w:cs="Segoe UI"/>
          <w:b/>
          <w:bCs/>
          <w:sz w:val="20"/>
          <w:szCs w:val="20"/>
        </w:rPr>
        <w:t xml:space="preserve">in the tender for the concession of cruise activity </w:t>
      </w:r>
      <w:r w:rsidR="00097F30" w:rsidRPr="00097F30">
        <w:rPr>
          <w:rFonts w:ascii="Segoe UI" w:hAnsi="Segoe UI" w:cs="Segoe UI"/>
          <w:b/>
          <w:bCs/>
          <w:sz w:val="20"/>
          <w:szCs w:val="20"/>
        </w:rPr>
        <w:t>in the ports of Katakolon, Patras and Kavala</w:t>
      </w:r>
    </w:p>
    <w:p w14:paraId="04F026F8" w14:textId="77777777" w:rsidR="00486152" w:rsidRPr="00486152" w:rsidRDefault="00486152" w:rsidP="00097F30">
      <w:pPr>
        <w:pStyle w:val="BodyText"/>
        <w:spacing w:before="56"/>
        <w:ind w:left="0"/>
        <w:jc w:val="center"/>
        <w:rPr>
          <w:rFonts w:ascii="Segoe UI" w:hAnsi="Segoe UI" w:cs="Segoe UI"/>
          <w:b/>
          <w:bCs/>
          <w:sz w:val="20"/>
          <w:szCs w:val="20"/>
          <w:lang w:val="en-US"/>
        </w:rPr>
      </w:pPr>
    </w:p>
    <w:p w14:paraId="7E4D368C" w14:textId="2DC7525A" w:rsidR="00DD3096" w:rsidRPr="00097F30" w:rsidRDefault="00A926DA" w:rsidP="00B47BF2">
      <w:pPr>
        <w:pStyle w:val="BodyText"/>
        <w:spacing w:before="56"/>
        <w:ind w:left="0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>Growthfund announces that four (4)</w:t>
      </w:r>
      <w:r w:rsidR="00097F30" w:rsidRPr="00097F30">
        <w:rPr>
          <w:rFonts w:ascii="Segoe UI" w:hAnsi="Segoe UI" w:cs="Segoe UI"/>
          <w:sz w:val="20"/>
          <w:szCs w:val="20"/>
        </w:rPr>
        <w:t xml:space="preserve"> investment schemes have submitted Expression</w:t>
      </w:r>
      <w:r w:rsidR="00A677E2">
        <w:rPr>
          <w:rFonts w:ascii="Segoe UI" w:hAnsi="Segoe UI" w:cs="Segoe UI"/>
          <w:sz w:val="20"/>
          <w:szCs w:val="20"/>
        </w:rPr>
        <w:t>s</w:t>
      </w:r>
      <w:r w:rsidR="00097F30" w:rsidRPr="00097F30">
        <w:rPr>
          <w:rFonts w:ascii="Segoe UI" w:hAnsi="Segoe UI" w:cs="Segoe UI"/>
          <w:sz w:val="20"/>
          <w:szCs w:val="20"/>
        </w:rPr>
        <w:t xml:space="preserve"> of Interest</w:t>
      </w:r>
      <w:r w:rsidR="00097F30">
        <w:rPr>
          <w:rFonts w:ascii="Segoe UI" w:hAnsi="Segoe UI" w:cs="Segoe UI"/>
          <w:sz w:val="20"/>
          <w:szCs w:val="20"/>
          <w:lang w:val="en-US"/>
        </w:rPr>
        <w:t xml:space="preserve"> in the international tender</w:t>
      </w:r>
      <w:r w:rsidR="00EC2124">
        <w:rPr>
          <w:rFonts w:ascii="Segoe UI" w:hAnsi="Segoe UI" w:cs="Segoe UI"/>
          <w:sz w:val="20"/>
          <w:szCs w:val="20"/>
          <w:lang w:val="en-US"/>
        </w:rPr>
        <w:t xml:space="preserve"> process</w:t>
      </w:r>
      <w:r w:rsidR="00097F30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DC676B">
        <w:rPr>
          <w:rFonts w:ascii="Segoe UI" w:hAnsi="Segoe UI" w:cs="Segoe UI"/>
          <w:sz w:val="20"/>
          <w:szCs w:val="20"/>
          <w:lang w:val="en-US"/>
        </w:rPr>
        <w:t xml:space="preserve">for the </w:t>
      </w:r>
      <w:r>
        <w:rPr>
          <w:rFonts w:ascii="Segoe UI" w:hAnsi="Segoe UI" w:cs="Segoe UI"/>
          <w:sz w:val="20"/>
          <w:szCs w:val="20"/>
          <w:lang w:val="en-US"/>
        </w:rPr>
        <w:t>concession of the</w:t>
      </w:r>
      <w:r w:rsidR="00097F30">
        <w:rPr>
          <w:rFonts w:ascii="Segoe UI" w:hAnsi="Segoe UI" w:cs="Segoe UI"/>
          <w:sz w:val="20"/>
          <w:szCs w:val="20"/>
          <w:lang w:val="en-US"/>
        </w:rPr>
        <w:t xml:space="preserve"> cruise activity </w:t>
      </w:r>
      <w:r w:rsidR="00097F30" w:rsidRPr="00097F30">
        <w:rPr>
          <w:rFonts w:ascii="Segoe UI" w:hAnsi="Segoe UI" w:cs="Segoe UI"/>
          <w:sz w:val="20"/>
          <w:szCs w:val="20"/>
          <w:lang w:val="en-US"/>
        </w:rPr>
        <w:t>in the port</w:t>
      </w:r>
      <w:r w:rsidR="00876F86">
        <w:rPr>
          <w:rFonts w:ascii="Segoe UI" w:hAnsi="Segoe UI" w:cs="Segoe UI"/>
          <w:sz w:val="20"/>
          <w:szCs w:val="20"/>
          <w:lang w:val="en-US"/>
        </w:rPr>
        <w:t>s</w:t>
      </w:r>
      <w:r w:rsidR="00097F30" w:rsidRPr="00097F30">
        <w:rPr>
          <w:rFonts w:ascii="Segoe UI" w:hAnsi="Segoe UI" w:cs="Segoe UI"/>
          <w:sz w:val="20"/>
          <w:szCs w:val="20"/>
          <w:lang w:val="en-US"/>
        </w:rPr>
        <w:t xml:space="preserve"> of Katakolon</w:t>
      </w:r>
      <w:r w:rsidR="00B700C0" w:rsidRPr="00B700C0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4E580C">
        <w:rPr>
          <w:rFonts w:ascii="Segoe UI" w:hAnsi="Segoe UI" w:cs="Segoe UI"/>
          <w:sz w:val="20"/>
          <w:szCs w:val="20"/>
          <w:lang w:val="en-US"/>
        </w:rPr>
        <w:t>and</w:t>
      </w:r>
      <w:r w:rsidR="00902FDD" w:rsidRPr="00902FDD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902FDD">
        <w:rPr>
          <w:rFonts w:ascii="Segoe UI" w:hAnsi="Segoe UI" w:cs="Segoe UI"/>
          <w:sz w:val="20"/>
          <w:szCs w:val="20"/>
          <w:lang w:val="en-US"/>
        </w:rPr>
        <w:t xml:space="preserve">the old port of </w:t>
      </w:r>
      <w:r w:rsidR="00097F30" w:rsidRPr="00097F30">
        <w:rPr>
          <w:rFonts w:ascii="Segoe UI" w:hAnsi="Segoe UI" w:cs="Segoe UI"/>
          <w:sz w:val="20"/>
          <w:szCs w:val="20"/>
          <w:lang w:val="en-US"/>
        </w:rPr>
        <w:t xml:space="preserve">Patras </w:t>
      </w:r>
      <w:r w:rsidR="00902FDD">
        <w:rPr>
          <w:rFonts w:ascii="Segoe UI" w:hAnsi="Segoe UI" w:cs="Segoe UI"/>
          <w:sz w:val="20"/>
          <w:szCs w:val="20"/>
          <w:lang w:val="en-US"/>
        </w:rPr>
        <w:t>(</w:t>
      </w:r>
      <w:r w:rsidR="00B756D0">
        <w:rPr>
          <w:rFonts w:ascii="Segoe UI" w:hAnsi="Segoe UI" w:cs="Segoe UI"/>
          <w:sz w:val="20"/>
          <w:szCs w:val="20"/>
          <w:lang w:val="en-US"/>
        </w:rPr>
        <w:t>lot 1)</w:t>
      </w:r>
      <w:r>
        <w:rPr>
          <w:rFonts w:ascii="Segoe UI" w:hAnsi="Segoe UI" w:cs="Segoe UI"/>
          <w:sz w:val="20"/>
          <w:szCs w:val="20"/>
          <w:lang w:val="en-US"/>
        </w:rPr>
        <w:t>, as well as</w:t>
      </w:r>
      <w:r w:rsidR="00876F86">
        <w:rPr>
          <w:rFonts w:ascii="Segoe UI" w:hAnsi="Segoe UI" w:cs="Segoe UI"/>
          <w:sz w:val="20"/>
          <w:szCs w:val="20"/>
          <w:lang w:val="en-US"/>
        </w:rPr>
        <w:t xml:space="preserve"> in</w:t>
      </w:r>
      <w:r w:rsidR="00B756D0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76F86">
        <w:rPr>
          <w:rFonts w:ascii="Segoe UI" w:hAnsi="Segoe UI" w:cs="Segoe UI"/>
          <w:sz w:val="20"/>
          <w:szCs w:val="20"/>
          <w:lang w:val="en-US"/>
        </w:rPr>
        <w:t xml:space="preserve">the </w:t>
      </w:r>
      <w:r w:rsidR="00295D89">
        <w:rPr>
          <w:rFonts w:ascii="Segoe UI" w:hAnsi="Segoe UI" w:cs="Segoe UI"/>
          <w:sz w:val="20"/>
          <w:szCs w:val="20"/>
          <w:lang w:val="en-US"/>
        </w:rPr>
        <w:t xml:space="preserve">central port of </w:t>
      </w:r>
      <w:r w:rsidR="00097F30" w:rsidRPr="00097F30">
        <w:rPr>
          <w:rFonts w:ascii="Segoe UI" w:hAnsi="Segoe UI" w:cs="Segoe UI"/>
          <w:sz w:val="20"/>
          <w:szCs w:val="20"/>
          <w:lang w:val="en-US"/>
        </w:rPr>
        <w:t>Kavala</w:t>
      </w:r>
      <w:r w:rsidR="004E580C" w:rsidRPr="004E580C">
        <w:rPr>
          <w:rFonts w:ascii="Segoe UI" w:hAnsi="Segoe UI" w:cs="Segoe UI"/>
          <w:sz w:val="20"/>
          <w:szCs w:val="20"/>
          <w:lang w:val="en-US"/>
        </w:rPr>
        <w:t>,</w:t>
      </w:r>
      <w:r w:rsidR="00097F30" w:rsidRPr="00097F30">
        <w:rPr>
          <w:rFonts w:ascii="Segoe UI" w:hAnsi="Segoe UI" w:cs="Segoe UI"/>
          <w:sz w:val="20"/>
          <w:szCs w:val="20"/>
          <w:lang w:val="en-US"/>
        </w:rPr>
        <w:t xml:space="preserve"> “Apostolos Pavlos”</w:t>
      </w:r>
      <w:r w:rsidR="00B756D0">
        <w:rPr>
          <w:rFonts w:ascii="Segoe UI" w:hAnsi="Segoe UI" w:cs="Segoe UI"/>
          <w:sz w:val="20"/>
          <w:szCs w:val="20"/>
          <w:lang w:val="en-US"/>
        </w:rPr>
        <w:t xml:space="preserve"> (lot 2)</w:t>
      </w:r>
      <w:r w:rsidR="00097F30" w:rsidRPr="00097F30">
        <w:rPr>
          <w:rFonts w:ascii="Segoe UI" w:hAnsi="Segoe UI" w:cs="Segoe UI"/>
          <w:sz w:val="20"/>
          <w:szCs w:val="20"/>
          <w:lang w:val="en-US"/>
        </w:rPr>
        <w:t>.</w:t>
      </w:r>
    </w:p>
    <w:p w14:paraId="74412DEC" w14:textId="77777777" w:rsidR="00DD3096" w:rsidRDefault="00DD3096" w:rsidP="00B47BF2">
      <w:pPr>
        <w:pStyle w:val="ListParagraph"/>
        <w:widowControl w:val="0"/>
        <w:spacing w:after="0" w:line="240" w:lineRule="auto"/>
        <w:ind w:left="284"/>
        <w:jc w:val="both"/>
        <w:rPr>
          <w:rFonts w:ascii="Segoe UI" w:hAnsi="Segoe UI" w:cs="Segoe UI"/>
          <w:sz w:val="20"/>
          <w:szCs w:val="20"/>
        </w:rPr>
      </w:pPr>
    </w:p>
    <w:p w14:paraId="4D7524A2" w14:textId="2832CFC1" w:rsidR="0044016C" w:rsidRPr="00097F30" w:rsidRDefault="0044016C" w:rsidP="000702FD">
      <w:pPr>
        <w:widowControl w:val="0"/>
        <w:spacing w:after="120" w:line="24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097F30">
        <w:rPr>
          <w:rFonts w:ascii="Segoe UI" w:hAnsi="Segoe UI" w:cs="Segoe UI"/>
          <w:sz w:val="20"/>
          <w:szCs w:val="20"/>
          <w:lang w:val="en-US"/>
        </w:rPr>
        <w:t xml:space="preserve">The tender for the development of cruise activities consists of two (2) </w:t>
      </w:r>
      <w:r w:rsidR="00017000">
        <w:rPr>
          <w:rFonts w:ascii="Segoe UI" w:hAnsi="Segoe UI" w:cs="Segoe UI"/>
          <w:sz w:val="20"/>
          <w:szCs w:val="20"/>
          <w:lang w:val="en-US"/>
        </w:rPr>
        <w:t>l</w:t>
      </w:r>
      <w:r w:rsidRPr="00097F30">
        <w:rPr>
          <w:rFonts w:ascii="Segoe UI" w:hAnsi="Segoe UI" w:cs="Segoe UI"/>
          <w:sz w:val="20"/>
          <w:szCs w:val="20"/>
          <w:lang w:val="en-US"/>
        </w:rPr>
        <w:t>ots:</w:t>
      </w:r>
    </w:p>
    <w:p w14:paraId="220B3405" w14:textId="2982A8B6" w:rsidR="0044016C" w:rsidRPr="00097F30" w:rsidRDefault="0044016C" w:rsidP="0044016C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097F30">
        <w:rPr>
          <w:rFonts w:ascii="Segoe UI" w:hAnsi="Segoe UI" w:cs="Segoe UI"/>
          <w:sz w:val="20"/>
          <w:szCs w:val="20"/>
        </w:rPr>
        <w:t xml:space="preserve">Lot 1: concession of the right to use, maintain, operate and exploit the Port of Katakolon, </w:t>
      </w:r>
      <w:r w:rsidR="004E580C">
        <w:rPr>
          <w:rFonts w:ascii="Segoe UI" w:hAnsi="Segoe UI" w:cs="Segoe UI"/>
          <w:sz w:val="20"/>
          <w:szCs w:val="20"/>
        </w:rPr>
        <w:t>and</w:t>
      </w:r>
      <w:r w:rsidRPr="00097F30">
        <w:rPr>
          <w:rFonts w:ascii="Segoe UI" w:hAnsi="Segoe UI" w:cs="Segoe UI"/>
          <w:sz w:val="20"/>
          <w:szCs w:val="20"/>
        </w:rPr>
        <w:t xml:space="preserve"> sub-concession of the right to use, maintain, operate and exploit a section of the old port of Patras (managed by the Port Authority of Patras S.A.), with a minimum duration of thirty (30) years.</w:t>
      </w:r>
    </w:p>
    <w:p w14:paraId="22D75D23" w14:textId="3C9D9829" w:rsidR="0044016C" w:rsidRDefault="0044016C" w:rsidP="0044016C">
      <w:pPr>
        <w:pStyle w:val="ListParagraph"/>
        <w:widowControl w:val="0"/>
        <w:numPr>
          <w:ilvl w:val="0"/>
          <w:numId w:val="3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097F30">
        <w:rPr>
          <w:rFonts w:ascii="Segoe UI" w:hAnsi="Segoe UI" w:cs="Segoe UI"/>
          <w:sz w:val="20"/>
          <w:szCs w:val="20"/>
        </w:rPr>
        <w:t>Lot 2:  sub-concession of the right to use, maintain, operate and exploit a section of the central port of Kavala</w:t>
      </w:r>
      <w:r w:rsidR="004E580C">
        <w:rPr>
          <w:rFonts w:ascii="Segoe UI" w:hAnsi="Segoe UI" w:cs="Segoe UI"/>
          <w:sz w:val="20"/>
          <w:szCs w:val="20"/>
        </w:rPr>
        <w:t>,</w:t>
      </w:r>
      <w:r w:rsidRPr="00097F30">
        <w:rPr>
          <w:rFonts w:ascii="Segoe UI" w:hAnsi="Segoe UI" w:cs="Segoe UI"/>
          <w:sz w:val="20"/>
          <w:szCs w:val="20"/>
        </w:rPr>
        <w:t xml:space="preserve"> “Apostolos Pavlos”</w:t>
      </w:r>
      <w:r w:rsidR="004E580C">
        <w:rPr>
          <w:rFonts w:ascii="Segoe UI" w:hAnsi="Segoe UI" w:cs="Segoe UI"/>
          <w:sz w:val="20"/>
          <w:szCs w:val="20"/>
        </w:rPr>
        <w:t xml:space="preserve"> </w:t>
      </w:r>
      <w:r w:rsidRPr="00097F30">
        <w:rPr>
          <w:rFonts w:ascii="Segoe UI" w:hAnsi="Segoe UI" w:cs="Segoe UI"/>
          <w:sz w:val="20"/>
          <w:szCs w:val="20"/>
        </w:rPr>
        <w:t>(managed by the Kavala Port Authority S.A.), with a minimum duration of thirty (30) years.</w:t>
      </w:r>
    </w:p>
    <w:p w14:paraId="6380F6D2" w14:textId="77777777" w:rsidR="0044016C" w:rsidRPr="00097F30" w:rsidRDefault="0044016C" w:rsidP="0044016C">
      <w:pPr>
        <w:pStyle w:val="ListParagraph"/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8198929" w14:textId="65D6FBFA" w:rsidR="00097F30" w:rsidRDefault="00097F30" w:rsidP="00A677E2">
      <w:pPr>
        <w:widowControl w:val="0"/>
        <w:spacing w:after="120" w:line="24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097F30">
        <w:rPr>
          <w:rFonts w:ascii="Segoe UI" w:hAnsi="Segoe UI" w:cs="Segoe UI"/>
          <w:sz w:val="20"/>
          <w:szCs w:val="20"/>
          <w:lang w:val="en-US"/>
        </w:rPr>
        <w:t>Expressions of Interest were submitted by the following investment schemes (in alphabetical order):</w:t>
      </w:r>
    </w:p>
    <w:p w14:paraId="75E61E40" w14:textId="1AE95EBE" w:rsidR="00A6688B" w:rsidRPr="00081BF7" w:rsidRDefault="00A6688B" w:rsidP="00A6688B">
      <w:pPr>
        <w:pStyle w:val="ListParagraph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081BF7">
        <w:rPr>
          <w:rFonts w:ascii="Segoe UI" w:hAnsi="Segoe UI" w:cs="Segoe UI"/>
          <w:sz w:val="20"/>
          <w:szCs w:val="20"/>
        </w:rPr>
        <w:t xml:space="preserve">Consortium Cruise Terminal Investment Limited </w:t>
      </w:r>
      <w:proofErr w:type="spellStart"/>
      <w:r w:rsidRPr="00081BF7">
        <w:rPr>
          <w:rFonts w:ascii="Segoe UI" w:hAnsi="Segoe UI" w:cs="Segoe UI"/>
          <w:sz w:val="20"/>
          <w:szCs w:val="20"/>
        </w:rPr>
        <w:t>Sàrl</w:t>
      </w:r>
      <w:proofErr w:type="spellEnd"/>
      <w:r w:rsidRPr="00081BF7">
        <w:rPr>
          <w:rFonts w:ascii="Segoe UI" w:hAnsi="Segoe UI" w:cs="Segoe UI"/>
          <w:sz w:val="20"/>
          <w:szCs w:val="20"/>
        </w:rPr>
        <w:t xml:space="preserve"> – V Group SM SA</w:t>
      </w:r>
      <w:r w:rsidRPr="008A43A3">
        <w:rPr>
          <w:rFonts w:ascii="Segoe UI" w:hAnsi="Segoe UI" w:cs="Segoe UI"/>
          <w:sz w:val="20"/>
          <w:szCs w:val="20"/>
        </w:rPr>
        <w:t xml:space="preserve"> </w:t>
      </w:r>
      <w:r w:rsidRPr="009862A3">
        <w:rPr>
          <w:rFonts w:ascii="Segoe UI" w:hAnsi="Segoe UI" w:cs="Segoe UI"/>
          <w:b/>
          <w:bCs/>
          <w:sz w:val="20"/>
          <w:szCs w:val="20"/>
        </w:rPr>
        <w:t>(Lot 1)</w:t>
      </w:r>
      <w:r>
        <w:rPr>
          <w:rFonts w:ascii="Segoe UI" w:hAnsi="Segoe UI" w:cs="Segoe UI"/>
          <w:b/>
          <w:bCs/>
          <w:sz w:val="20"/>
          <w:szCs w:val="20"/>
        </w:rPr>
        <w:t xml:space="preserve">. </w:t>
      </w:r>
    </w:p>
    <w:p w14:paraId="23B26FE8" w14:textId="45492919" w:rsidR="00444414" w:rsidRPr="00444414" w:rsidRDefault="00A6688B" w:rsidP="00444414">
      <w:pPr>
        <w:pStyle w:val="ListParagraph"/>
        <w:numPr>
          <w:ilvl w:val="0"/>
          <w:numId w:val="9"/>
        </w:numPr>
        <w:rPr>
          <w:rFonts w:ascii="Segoe UI" w:hAnsi="Segoe UI" w:cs="Segoe UI"/>
          <w:sz w:val="20"/>
          <w:szCs w:val="20"/>
        </w:rPr>
      </w:pPr>
      <w:r w:rsidRPr="00A6688B">
        <w:rPr>
          <w:rFonts w:ascii="Segoe UI" w:hAnsi="Segoe UI" w:cs="Segoe UI"/>
          <w:sz w:val="20"/>
          <w:szCs w:val="20"/>
        </w:rPr>
        <w:t xml:space="preserve">Cruise Terminals International Ltd </w:t>
      </w:r>
      <w:r w:rsidRPr="00A6688B">
        <w:rPr>
          <w:rFonts w:ascii="Segoe UI" w:hAnsi="Segoe UI" w:cs="Segoe UI"/>
          <w:b/>
          <w:bCs/>
          <w:sz w:val="20"/>
          <w:szCs w:val="20"/>
        </w:rPr>
        <w:t>(Lot 1).</w:t>
      </w:r>
    </w:p>
    <w:p w14:paraId="16EAC7C7" w14:textId="46C05D46" w:rsidR="00097F30" w:rsidRDefault="006305BC" w:rsidP="006305BC">
      <w:pPr>
        <w:pStyle w:val="ListParagraph"/>
        <w:widowControl w:val="0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GPH Cruise Port Finance Ltd</w:t>
      </w:r>
      <w:r w:rsidR="008A43A3">
        <w:rPr>
          <w:rFonts w:ascii="Segoe UI" w:hAnsi="Segoe UI" w:cs="Segoe UI"/>
          <w:sz w:val="20"/>
          <w:szCs w:val="20"/>
        </w:rPr>
        <w:t xml:space="preserve"> </w:t>
      </w:r>
      <w:r w:rsidR="008A43A3" w:rsidRPr="009862A3">
        <w:rPr>
          <w:rFonts w:ascii="Segoe UI" w:hAnsi="Segoe UI" w:cs="Segoe UI"/>
          <w:b/>
          <w:bCs/>
          <w:sz w:val="20"/>
          <w:szCs w:val="20"/>
        </w:rPr>
        <w:t>(Lot</w:t>
      </w:r>
      <w:r w:rsidR="00284A6F" w:rsidRPr="009862A3">
        <w:rPr>
          <w:rFonts w:ascii="Segoe UI" w:hAnsi="Segoe UI" w:cs="Segoe UI"/>
          <w:b/>
          <w:bCs/>
          <w:sz w:val="20"/>
          <w:szCs w:val="20"/>
        </w:rPr>
        <w:t xml:space="preserve"> 1</w:t>
      </w:r>
      <w:r w:rsidR="00A677E2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284A6F" w:rsidRPr="009862A3">
        <w:rPr>
          <w:rFonts w:ascii="Segoe UI" w:hAnsi="Segoe UI" w:cs="Segoe UI"/>
          <w:b/>
          <w:bCs/>
          <w:sz w:val="20"/>
          <w:szCs w:val="20"/>
        </w:rPr>
        <w:t>&amp;</w:t>
      </w:r>
      <w:r w:rsidR="00A677E2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284A6F" w:rsidRPr="009862A3">
        <w:rPr>
          <w:rFonts w:ascii="Segoe UI" w:hAnsi="Segoe UI" w:cs="Segoe UI"/>
          <w:b/>
          <w:bCs/>
          <w:sz w:val="20"/>
          <w:szCs w:val="20"/>
        </w:rPr>
        <w:t>2)</w:t>
      </w:r>
      <w:r w:rsidR="00A926DA">
        <w:rPr>
          <w:rFonts w:ascii="Segoe UI" w:hAnsi="Segoe UI" w:cs="Segoe UI"/>
          <w:b/>
          <w:bCs/>
          <w:sz w:val="20"/>
          <w:szCs w:val="20"/>
        </w:rPr>
        <w:t>.</w:t>
      </w:r>
    </w:p>
    <w:p w14:paraId="5F72D4B2" w14:textId="5CC7121B" w:rsidR="006305BC" w:rsidRPr="009862A3" w:rsidRDefault="009862A3" w:rsidP="006305BC">
      <w:pPr>
        <w:pStyle w:val="ListParagraph"/>
        <w:widowControl w:val="0"/>
        <w:numPr>
          <w:ilvl w:val="0"/>
          <w:numId w:val="9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311A32">
        <w:rPr>
          <w:rFonts w:ascii="Segoe UI" w:hAnsi="Segoe UI" w:cs="Segoe UI"/>
          <w:sz w:val="20"/>
          <w:szCs w:val="20"/>
        </w:rPr>
        <w:t>LAMDA MARINAS INVESTMENTS SMSA</w:t>
      </w:r>
      <w:r w:rsidR="00284A6F" w:rsidRPr="009862A3">
        <w:rPr>
          <w:rFonts w:ascii="Segoe UI" w:hAnsi="Segoe UI" w:cs="Segoe UI"/>
          <w:sz w:val="20"/>
          <w:szCs w:val="20"/>
        </w:rPr>
        <w:t xml:space="preserve"> </w:t>
      </w:r>
      <w:r w:rsidR="00284A6F" w:rsidRPr="009862A3">
        <w:rPr>
          <w:rFonts w:ascii="Segoe UI" w:hAnsi="Segoe UI" w:cs="Segoe UI"/>
          <w:b/>
          <w:bCs/>
          <w:sz w:val="20"/>
          <w:szCs w:val="20"/>
        </w:rPr>
        <w:t>(Lot 2)</w:t>
      </w:r>
      <w:r w:rsidR="00A926DA">
        <w:rPr>
          <w:rFonts w:ascii="Segoe UI" w:hAnsi="Segoe UI" w:cs="Segoe UI"/>
          <w:b/>
          <w:bCs/>
          <w:sz w:val="20"/>
          <w:szCs w:val="20"/>
        </w:rPr>
        <w:t>.</w:t>
      </w:r>
    </w:p>
    <w:p w14:paraId="08EAD34A" w14:textId="77777777" w:rsidR="006305BC" w:rsidRPr="009862A3" w:rsidRDefault="006305BC" w:rsidP="00B47BF2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17A15094" w14:textId="180BB6FB" w:rsidR="00097F30" w:rsidRDefault="00097F30" w:rsidP="00444414">
      <w:pPr>
        <w:widowControl w:val="0"/>
        <w:spacing w:line="240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097F30">
        <w:rPr>
          <w:rFonts w:ascii="Segoe UI" w:hAnsi="Segoe UI" w:cs="Segoe UI"/>
          <w:sz w:val="20"/>
          <w:szCs w:val="20"/>
          <w:lang w:val="en-US"/>
        </w:rPr>
        <w:t xml:space="preserve">Following the evaluation of the Expressions of Interest, candidates who meet the pre-qualification criteria will be invited to participate in </w:t>
      </w:r>
      <w:r w:rsidR="00DC676B">
        <w:rPr>
          <w:rFonts w:ascii="Segoe UI" w:hAnsi="Segoe UI" w:cs="Segoe UI"/>
          <w:sz w:val="20"/>
          <w:szCs w:val="20"/>
          <w:lang w:val="en-US"/>
        </w:rPr>
        <w:t>p</w:t>
      </w:r>
      <w:r w:rsidRPr="00097F30">
        <w:rPr>
          <w:rFonts w:ascii="Segoe UI" w:hAnsi="Segoe UI" w:cs="Segoe UI"/>
          <w:sz w:val="20"/>
          <w:szCs w:val="20"/>
          <w:lang w:val="en-US"/>
        </w:rPr>
        <w:t>hase B of the tender process (</w:t>
      </w:r>
      <w:r w:rsidR="00DC676B">
        <w:rPr>
          <w:rFonts w:ascii="Segoe UI" w:hAnsi="Segoe UI" w:cs="Segoe UI"/>
          <w:sz w:val="20"/>
          <w:szCs w:val="20"/>
          <w:lang w:val="en-US"/>
        </w:rPr>
        <w:t>s</w:t>
      </w:r>
      <w:r w:rsidRPr="00097F30">
        <w:rPr>
          <w:rFonts w:ascii="Segoe UI" w:hAnsi="Segoe UI" w:cs="Segoe UI"/>
          <w:sz w:val="20"/>
          <w:szCs w:val="20"/>
          <w:lang w:val="en-US"/>
        </w:rPr>
        <w:t xml:space="preserve">ubmission of </w:t>
      </w:r>
      <w:r w:rsidR="00DC676B">
        <w:rPr>
          <w:rFonts w:ascii="Segoe UI" w:hAnsi="Segoe UI" w:cs="Segoe UI"/>
          <w:sz w:val="20"/>
          <w:szCs w:val="20"/>
          <w:lang w:val="en-US"/>
        </w:rPr>
        <w:t>b</w:t>
      </w:r>
      <w:r w:rsidRPr="00097F30">
        <w:rPr>
          <w:rFonts w:ascii="Segoe UI" w:hAnsi="Segoe UI" w:cs="Segoe UI"/>
          <w:sz w:val="20"/>
          <w:szCs w:val="20"/>
          <w:lang w:val="en-US"/>
        </w:rPr>
        <w:t xml:space="preserve">inding </w:t>
      </w:r>
      <w:r w:rsidR="00DC676B">
        <w:rPr>
          <w:rFonts w:ascii="Segoe UI" w:hAnsi="Segoe UI" w:cs="Segoe UI"/>
          <w:sz w:val="20"/>
          <w:szCs w:val="20"/>
          <w:lang w:val="en-US"/>
        </w:rPr>
        <w:t>o</w:t>
      </w:r>
      <w:r w:rsidRPr="00097F30">
        <w:rPr>
          <w:rFonts w:ascii="Segoe UI" w:hAnsi="Segoe UI" w:cs="Segoe UI"/>
          <w:sz w:val="20"/>
          <w:szCs w:val="20"/>
          <w:lang w:val="en-US"/>
        </w:rPr>
        <w:t>ffers).</w:t>
      </w:r>
    </w:p>
    <w:p w14:paraId="083342AF" w14:textId="5C0E812E" w:rsidR="00D27858" w:rsidRDefault="00DC676B" w:rsidP="00444414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A926DA">
        <w:rPr>
          <w:rFonts w:ascii="Segoe UI" w:hAnsi="Segoe UI" w:cs="Segoe UI"/>
          <w:sz w:val="20"/>
          <w:szCs w:val="20"/>
          <w:lang w:val="en-US"/>
        </w:rPr>
        <w:t>According to the terms of the tender process</w:t>
      </w:r>
      <w:r w:rsidR="00A926DA">
        <w:rPr>
          <w:rFonts w:ascii="Segoe UI" w:hAnsi="Segoe UI" w:cs="Segoe UI"/>
          <w:sz w:val="20"/>
          <w:szCs w:val="20"/>
          <w:lang w:val="en-US"/>
        </w:rPr>
        <w:t>,</w:t>
      </w:r>
      <w:r w:rsidRPr="00A926DA">
        <w:rPr>
          <w:rFonts w:ascii="Segoe UI" w:hAnsi="Segoe UI" w:cs="Segoe UI"/>
          <w:sz w:val="20"/>
          <w:szCs w:val="20"/>
          <w:lang w:val="en-US"/>
        </w:rPr>
        <w:t xml:space="preserve"> i</w:t>
      </w:r>
      <w:r w:rsidR="00B47BF2" w:rsidRPr="00A926DA">
        <w:rPr>
          <w:rFonts w:ascii="Segoe UI" w:hAnsi="Segoe UI" w:cs="Segoe UI"/>
          <w:sz w:val="20"/>
          <w:szCs w:val="20"/>
          <w:lang w:val="en-US"/>
        </w:rPr>
        <w:t>nvestment schemes</w:t>
      </w:r>
      <w:r w:rsidR="00BC28D0" w:rsidRPr="00A926DA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B47BF2" w:rsidRPr="00A926DA">
        <w:rPr>
          <w:rFonts w:ascii="Segoe UI" w:hAnsi="Segoe UI" w:cs="Segoe UI"/>
          <w:sz w:val="20"/>
          <w:szCs w:val="20"/>
          <w:lang w:val="en-US"/>
        </w:rPr>
        <w:t>could</w:t>
      </w:r>
      <w:r w:rsidR="00BC28D0" w:rsidRPr="00A926DA">
        <w:rPr>
          <w:rFonts w:ascii="Segoe UI" w:hAnsi="Segoe UI" w:cs="Segoe UI"/>
          <w:sz w:val="20"/>
          <w:szCs w:val="20"/>
          <w:lang w:val="en-US"/>
        </w:rPr>
        <w:t xml:space="preserve"> express interest in either one or both lots of the tender</w:t>
      </w:r>
      <w:r w:rsidRPr="00A926DA">
        <w:rPr>
          <w:rFonts w:ascii="Segoe UI" w:hAnsi="Segoe UI" w:cs="Segoe UI"/>
          <w:sz w:val="20"/>
          <w:szCs w:val="20"/>
          <w:lang w:val="en-US"/>
        </w:rPr>
        <w:t>.</w:t>
      </w:r>
    </w:p>
    <w:p w14:paraId="2B731145" w14:textId="1B25D82A" w:rsidR="00BC28D0" w:rsidRPr="00BC28D0" w:rsidRDefault="00BC28D0" w:rsidP="00444414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sz w:val="20"/>
          <w:szCs w:val="20"/>
          <w:lang w:val="en-US"/>
        </w:rPr>
      </w:pPr>
      <w:r w:rsidRPr="00BC28D0">
        <w:rPr>
          <w:rFonts w:ascii="Segoe UI" w:hAnsi="Segoe UI" w:cs="Segoe UI"/>
          <w:sz w:val="20"/>
          <w:szCs w:val="20"/>
          <w:lang w:val="en-US"/>
        </w:rPr>
        <w:t xml:space="preserve">The further development of cruise activity and the establishment of new </w:t>
      </w:r>
      <w:r w:rsidR="00DC676B">
        <w:rPr>
          <w:rFonts w:ascii="Segoe UI" w:hAnsi="Segoe UI" w:cs="Segoe UI"/>
          <w:sz w:val="20"/>
          <w:szCs w:val="20"/>
          <w:lang w:val="en-US"/>
        </w:rPr>
        <w:t xml:space="preserve">cruise </w:t>
      </w:r>
      <w:r w:rsidRPr="00BC28D0">
        <w:rPr>
          <w:rFonts w:ascii="Segoe UI" w:hAnsi="Segoe UI" w:cs="Segoe UI"/>
          <w:sz w:val="20"/>
          <w:szCs w:val="20"/>
          <w:lang w:val="en-US"/>
        </w:rPr>
        <w:t>destinations is in line with the policy for the streamlining of increasing tourist flows at popular cruise ports.</w:t>
      </w:r>
    </w:p>
    <w:p w14:paraId="188A6092" w14:textId="77777777" w:rsidR="00D27858" w:rsidRPr="00891803" w:rsidRDefault="00D27858" w:rsidP="00444414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</w:pPr>
      <w:bookmarkStart w:id="0" w:name="_Hlk144659686"/>
      <w:r w:rsidRPr="00891803"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  <w:t xml:space="preserve">For further information please contact: </w:t>
      </w:r>
    </w:p>
    <w:p w14:paraId="29809759" w14:textId="604786ED" w:rsidR="00D27858" w:rsidRPr="00891803" w:rsidRDefault="00D27858" w:rsidP="00444414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</w:pPr>
      <w:r w:rsidRPr="00891803"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  <w:t>GROWTHFUND, Anthi Trokoudi, Chief Communications &amp; Sustainability Officer, +30 6932</w:t>
      </w:r>
      <w:r w:rsidR="005213DA"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  <w:t xml:space="preserve"> </w:t>
      </w:r>
      <w:r w:rsidRPr="00891803"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  <w:t xml:space="preserve">100053, </w:t>
      </w:r>
      <w:hyperlink r:id="rId10" w:history="1">
        <w:r w:rsidR="00DE4684" w:rsidRPr="00E11E45">
          <w:rPr>
            <w:rStyle w:val="Hyperlink"/>
            <w:rFonts w:ascii="Segoe UI" w:hAnsi="Segoe UI" w:cs="Segoe UI"/>
            <w:b/>
            <w:bCs/>
            <w:i/>
            <w:iCs/>
            <w:sz w:val="16"/>
            <w:szCs w:val="16"/>
            <w:lang w:val="en-US"/>
          </w:rPr>
          <w:t>A.Trokoudi@growthfund.gr</w:t>
        </w:r>
      </w:hyperlink>
      <w:r w:rsidR="00DE4684"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  <w:t xml:space="preserve"> </w:t>
      </w:r>
      <w:r w:rsidRPr="00891803"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  <w:t xml:space="preserve"> </w:t>
      </w:r>
      <w:r w:rsidR="005213DA"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  <w:t xml:space="preserve"> </w:t>
      </w:r>
    </w:p>
    <w:p w14:paraId="54AE3079" w14:textId="44DD0825" w:rsidR="00193A2C" w:rsidRPr="0061661D" w:rsidRDefault="00A44539" w:rsidP="00444414">
      <w:pPr>
        <w:tabs>
          <w:tab w:val="left" w:pos="142"/>
        </w:tabs>
        <w:spacing w:line="264" w:lineRule="auto"/>
        <w:jc w:val="both"/>
        <w:rPr>
          <w:rFonts w:ascii="Segoe UI" w:hAnsi="Segoe UI" w:cs="Segoe UI"/>
          <w:b/>
          <w:bCs/>
          <w:lang w:val="en-US"/>
        </w:rPr>
      </w:pPr>
      <w:r w:rsidRPr="00A44539"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  <w:t xml:space="preserve">SOCIALDOO, Konstantina Iliopoulou, Director of Corporate Relations, +30 6974 894411, </w:t>
      </w:r>
      <w:hyperlink r:id="rId11" w:history="1">
        <w:r w:rsidR="005213DA" w:rsidRPr="00E11E45">
          <w:rPr>
            <w:rStyle w:val="Hyperlink"/>
            <w:rFonts w:ascii="Segoe UI" w:hAnsi="Segoe UI" w:cs="Segoe UI"/>
            <w:b/>
            <w:bCs/>
            <w:i/>
            <w:iCs/>
            <w:sz w:val="16"/>
            <w:szCs w:val="16"/>
            <w:lang w:val="en-US"/>
          </w:rPr>
          <w:t>kiliopoulou@socialdoo.gr</w:t>
        </w:r>
      </w:hyperlink>
      <w:r w:rsidR="005213DA"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  <w:t xml:space="preserve"> </w:t>
      </w:r>
      <w:r w:rsidRPr="00A44539">
        <w:rPr>
          <w:rFonts w:ascii="Segoe UI" w:hAnsi="Segoe UI" w:cs="Segoe UI"/>
          <w:b/>
          <w:bCs/>
          <w:i/>
          <w:iCs/>
          <w:sz w:val="16"/>
          <w:szCs w:val="16"/>
          <w:lang w:val="en-US"/>
        </w:rPr>
        <w:t xml:space="preserve">    </w:t>
      </w:r>
      <w:bookmarkEnd w:id="0"/>
    </w:p>
    <w:sectPr w:rsidR="00193A2C" w:rsidRPr="0061661D" w:rsidSect="00891803">
      <w:headerReference w:type="default" r:id="rId12"/>
      <w:footerReference w:type="default" r:id="rId13"/>
      <w:headerReference w:type="first" r:id="rId14"/>
      <w:pgSz w:w="12240" w:h="15840" w:code="1"/>
      <w:pgMar w:top="2269" w:right="1474" w:bottom="1134" w:left="147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7695" w14:textId="77777777" w:rsidR="005721DE" w:rsidRDefault="005721DE">
      <w:pPr>
        <w:spacing w:after="0" w:line="240" w:lineRule="auto"/>
      </w:pPr>
      <w:r>
        <w:separator/>
      </w:r>
    </w:p>
  </w:endnote>
  <w:endnote w:type="continuationSeparator" w:id="0">
    <w:p w14:paraId="4B924253" w14:textId="77777777" w:rsidR="005721DE" w:rsidRDefault="0057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ova Light" w:hAnsi="Arial Nova Light"/>
        <w:sz w:val="16"/>
        <w:szCs w:val="16"/>
      </w:rPr>
      <w:id w:val="-19232467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ova Light" w:hAnsi="Arial Nova Light"/>
            <w:sz w:val="16"/>
            <w:szCs w:val="16"/>
          </w:rPr>
          <w:id w:val="-1852793288"/>
          <w:docPartObj>
            <w:docPartGallery w:val="Page Numbers (Top of Page)"/>
            <w:docPartUnique/>
          </w:docPartObj>
        </w:sdtPr>
        <w:sdtEndPr/>
        <w:sdtContent>
          <w:p w14:paraId="59320DC0" w14:textId="77777777" w:rsidR="00DF3658" w:rsidRDefault="00DF3658" w:rsidP="001A584F">
            <w:pPr>
              <w:pStyle w:val="Footer"/>
              <w:rPr>
                <w:rFonts w:ascii="Arial Nova Light" w:hAnsi="Arial Nova Light"/>
                <w:noProof/>
                <w:sz w:val="16"/>
                <w:szCs w:val="16"/>
              </w:rPr>
            </w:pPr>
          </w:p>
          <w:p w14:paraId="704651EB" w14:textId="77777777" w:rsidR="00DF3658" w:rsidRDefault="00CE6132" w:rsidP="007C3BDC">
            <w:pPr>
              <w:pStyle w:val="Footer"/>
              <w:ind w:left="-720"/>
              <w:rPr>
                <w:rFonts w:ascii="Arial Nova Light" w:hAnsi="Arial Nova Light"/>
                <w:noProof/>
                <w:sz w:val="16"/>
                <w:szCs w:val="16"/>
              </w:rPr>
            </w:pPr>
            <w:r>
              <w:rPr>
                <w:rFonts w:ascii="Arial Nova Light" w:hAnsi="Arial Nova Light"/>
                <w:sz w:val="16"/>
                <w:szCs w:val="16"/>
              </w:rPr>
              <w:pict w14:anchorId="24648FB0">
                <v:rect id="_x0000_i1025" style="width:0;height:1.5pt" o:hralign="center" o:hrstd="t" o:hr="t" fillcolor="#a0a0a0" stroked="f"/>
              </w:pict>
            </w:r>
          </w:p>
          <w:p w14:paraId="54C1A180" w14:textId="77777777" w:rsidR="00DF3658" w:rsidRDefault="00DF3658" w:rsidP="001A584F">
            <w:pPr>
              <w:pStyle w:val="Footer"/>
              <w:rPr>
                <w:rFonts w:ascii="Arial Nova Light" w:hAnsi="Arial Nova Light"/>
                <w:sz w:val="16"/>
                <w:szCs w:val="16"/>
              </w:rPr>
            </w:pPr>
          </w:p>
          <w:p w14:paraId="235D9287" w14:textId="77777777" w:rsidR="00DF3658" w:rsidRPr="001A584F" w:rsidRDefault="004E5362" w:rsidP="001A584F">
            <w:pPr>
              <w:pStyle w:val="Footer"/>
              <w:rPr>
                <w:rFonts w:ascii="Arial Nova Light" w:hAnsi="Arial Nova Light"/>
                <w:sz w:val="16"/>
                <w:szCs w:val="16"/>
              </w:rPr>
            </w:pPr>
            <w:r w:rsidRPr="00903CE1">
              <w:rPr>
                <w:rFonts w:ascii="Arial Nova Light" w:hAnsi="Arial Nova Light"/>
                <w:sz w:val="16"/>
                <w:szCs w:val="16"/>
                <w:lang w:val="en-US"/>
              </w:rPr>
              <w:t xml:space="preserve">4, Karageorgi Servias Str. 10562, Athens - </w:t>
            </w:r>
            <w:r w:rsidRPr="002B5FF9">
              <w:rPr>
                <w:rFonts w:ascii="Arial Nova Light" w:hAnsi="Arial Nova Light"/>
                <w:sz w:val="16"/>
                <w:szCs w:val="16"/>
              </w:rPr>
              <w:t>Τ</w:t>
            </w:r>
            <w:r w:rsidRPr="00903CE1">
              <w:rPr>
                <w:rFonts w:ascii="Arial Nova Light" w:hAnsi="Arial Nova Light"/>
                <w:sz w:val="16"/>
                <w:szCs w:val="16"/>
                <w:lang w:val="en-US"/>
              </w:rPr>
              <w:t xml:space="preserve">. +30 210 0106900 - </w:t>
            </w:r>
            <w:r w:rsidRPr="002B5FF9">
              <w:rPr>
                <w:rFonts w:ascii="Arial Nova Light" w:hAnsi="Arial Nova Light"/>
                <w:sz w:val="16"/>
                <w:szCs w:val="16"/>
              </w:rPr>
              <w:t>Ε</w:t>
            </w:r>
            <w:r w:rsidRPr="00903CE1">
              <w:rPr>
                <w:rFonts w:ascii="Arial Nova Light" w:hAnsi="Arial Nova Light"/>
                <w:sz w:val="16"/>
                <w:szCs w:val="16"/>
                <w:lang w:val="en-US"/>
              </w:rPr>
              <w:t xml:space="preserve">. </w:t>
            </w:r>
            <w:hyperlink r:id="rId1" w:history="1">
              <w:r w:rsidRPr="002B5FF9">
                <w:rPr>
                  <w:rFonts w:ascii="Arial Nova Light" w:hAnsi="Arial Nova Light"/>
                  <w:sz w:val="16"/>
                  <w:szCs w:val="16"/>
                </w:rPr>
                <w:t>contact</w:t>
              </w:r>
              <w:r w:rsidRPr="001A584F">
                <w:rPr>
                  <w:rFonts w:ascii="Arial Nova Light" w:hAnsi="Arial Nova Light"/>
                  <w:sz w:val="16"/>
                  <w:szCs w:val="16"/>
                </w:rPr>
                <w:t>@</w:t>
              </w:r>
              <w:r w:rsidRPr="002B5FF9">
                <w:rPr>
                  <w:rFonts w:ascii="Arial Nova Light" w:hAnsi="Arial Nova Light"/>
                  <w:sz w:val="16"/>
                  <w:szCs w:val="16"/>
                </w:rPr>
                <w:t>hcap</w:t>
              </w:r>
              <w:r w:rsidRPr="001A584F">
                <w:rPr>
                  <w:rFonts w:ascii="Arial Nova Light" w:hAnsi="Arial Nova Light"/>
                  <w:sz w:val="16"/>
                  <w:szCs w:val="16"/>
                </w:rPr>
                <w:t>.</w:t>
              </w:r>
              <w:r w:rsidRPr="002B5FF9">
                <w:rPr>
                  <w:rFonts w:ascii="Arial Nova Light" w:hAnsi="Arial Nova Light"/>
                  <w:sz w:val="16"/>
                  <w:szCs w:val="16"/>
                </w:rPr>
                <w:t>gr</w:t>
              </w:r>
            </w:hyperlink>
            <w:r w:rsidRPr="001A584F">
              <w:rPr>
                <w:rFonts w:ascii="Arial Nova Light" w:hAnsi="Arial Nova Light"/>
                <w:sz w:val="16"/>
                <w:szCs w:val="16"/>
              </w:rPr>
              <w:t xml:space="preserve"> - </w:t>
            </w:r>
            <w:r w:rsidRPr="002B5FF9">
              <w:rPr>
                <w:rFonts w:ascii="Arial Nova Light" w:hAnsi="Arial Nova Light"/>
                <w:sz w:val="16"/>
                <w:szCs w:val="16"/>
              </w:rPr>
              <w:t>www</w:t>
            </w:r>
            <w:r w:rsidRPr="001A584F">
              <w:rPr>
                <w:rFonts w:ascii="Arial Nova Light" w:hAnsi="Arial Nova Light"/>
                <w:sz w:val="16"/>
                <w:szCs w:val="16"/>
              </w:rPr>
              <w:t>.</w:t>
            </w:r>
            <w:r w:rsidRPr="002B5FF9">
              <w:rPr>
                <w:rFonts w:ascii="Arial Nova Light" w:hAnsi="Arial Nova Light"/>
                <w:sz w:val="16"/>
                <w:szCs w:val="16"/>
              </w:rPr>
              <w:t>hcap</w:t>
            </w:r>
            <w:r w:rsidRPr="001A584F">
              <w:rPr>
                <w:rFonts w:ascii="Arial Nova Light" w:hAnsi="Arial Nova Light"/>
                <w:sz w:val="16"/>
                <w:szCs w:val="16"/>
              </w:rPr>
              <w:t>.</w:t>
            </w:r>
            <w:r w:rsidRPr="002B5FF9">
              <w:rPr>
                <w:rFonts w:ascii="Arial Nova Light" w:hAnsi="Arial Nova Light"/>
                <w:sz w:val="16"/>
                <w:szCs w:val="16"/>
              </w:rPr>
              <w:t>gr</w:t>
            </w:r>
          </w:p>
          <w:p w14:paraId="57CB1584" w14:textId="77777777" w:rsidR="00DF3658" w:rsidRDefault="00DF3658" w:rsidP="001A584F">
            <w:pPr>
              <w:pStyle w:val="Footer"/>
              <w:rPr>
                <w:rFonts w:ascii="Arial Nova Light" w:hAnsi="Arial Nova Light"/>
                <w:sz w:val="16"/>
                <w:szCs w:val="16"/>
              </w:rPr>
            </w:pPr>
          </w:p>
          <w:p w14:paraId="250545F1" w14:textId="77777777" w:rsidR="00DF3658" w:rsidRPr="002B5FF9" w:rsidRDefault="004E5362" w:rsidP="00D56B4F">
            <w:pPr>
              <w:pStyle w:val="Footer"/>
              <w:ind w:right="-900"/>
              <w:jc w:val="right"/>
              <w:rPr>
                <w:rFonts w:ascii="Arial Nova Light" w:hAnsi="Arial Nova Light"/>
                <w:sz w:val="16"/>
                <w:szCs w:val="16"/>
              </w:rPr>
            </w:pPr>
            <w:r w:rsidRPr="00744ACB">
              <w:rPr>
                <w:rFonts w:ascii="Arial Nova Light" w:hAnsi="Arial Nova Light"/>
                <w:sz w:val="16"/>
                <w:szCs w:val="16"/>
              </w:rPr>
              <w:t xml:space="preserve">Page </w:t>
            </w:r>
            <w:r w:rsidRPr="00744ACB">
              <w:rPr>
                <w:rFonts w:ascii="Arial Nova Light" w:hAnsi="Arial Nova Light"/>
                <w:b/>
                <w:bCs/>
                <w:sz w:val="16"/>
                <w:szCs w:val="16"/>
              </w:rPr>
              <w:fldChar w:fldCharType="begin"/>
            </w:r>
            <w:r w:rsidRPr="00744ACB">
              <w:rPr>
                <w:rFonts w:ascii="Arial Nova Light" w:hAnsi="Arial Nova Light"/>
                <w:b/>
                <w:bCs/>
                <w:sz w:val="16"/>
                <w:szCs w:val="16"/>
              </w:rPr>
              <w:instrText xml:space="preserve"> PAGE </w:instrText>
            </w:r>
            <w:r w:rsidRPr="00744ACB">
              <w:rPr>
                <w:rFonts w:ascii="Arial Nova Light" w:hAnsi="Arial Nova Light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 Nova Light" w:hAnsi="Arial Nova Light"/>
                <w:b/>
                <w:bCs/>
                <w:noProof/>
                <w:sz w:val="16"/>
                <w:szCs w:val="16"/>
              </w:rPr>
              <w:t>2</w:t>
            </w:r>
            <w:r w:rsidRPr="00744ACB">
              <w:rPr>
                <w:rFonts w:ascii="Arial Nova Light" w:hAnsi="Arial Nova Light"/>
                <w:b/>
                <w:bCs/>
                <w:sz w:val="16"/>
                <w:szCs w:val="16"/>
              </w:rPr>
              <w:fldChar w:fldCharType="end"/>
            </w:r>
            <w:r w:rsidRPr="00744ACB">
              <w:rPr>
                <w:rFonts w:ascii="Arial Nova Light" w:hAnsi="Arial Nova Light"/>
                <w:sz w:val="16"/>
                <w:szCs w:val="16"/>
              </w:rPr>
              <w:t xml:space="preserve"> of </w:t>
            </w:r>
            <w:r w:rsidRPr="00744ACB">
              <w:rPr>
                <w:rFonts w:ascii="Arial Nova Light" w:hAnsi="Arial Nova Light"/>
                <w:b/>
                <w:bCs/>
                <w:sz w:val="16"/>
                <w:szCs w:val="16"/>
              </w:rPr>
              <w:fldChar w:fldCharType="begin"/>
            </w:r>
            <w:r w:rsidRPr="00744ACB">
              <w:rPr>
                <w:rFonts w:ascii="Arial Nova Light" w:hAnsi="Arial Nova Light"/>
                <w:b/>
                <w:bCs/>
                <w:sz w:val="16"/>
                <w:szCs w:val="16"/>
              </w:rPr>
              <w:instrText xml:space="preserve"> NUMPAGES  </w:instrText>
            </w:r>
            <w:r w:rsidRPr="00744ACB">
              <w:rPr>
                <w:rFonts w:ascii="Arial Nova Light" w:hAnsi="Arial Nova Light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 Nova Light" w:hAnsi="Arial Nova Light"/>
                <w:b/>
                <w:bCs/>
                <w:noProof/>
                <w:sz w:val="16"/>
                <w:szCs w:val="16"/>
              </w:rPr>
              <w:t>1</w:t>
            </w:r>
            <w:r w:rsidRPr="00744ACB">
              <w:rPr>
                <w:rFonts w:ascii="Arial Nova Light" w:hAnsi="Arial Nova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E9090" w14:textId="77777777" w:rsidR="005721DE" w:rsidRDefault="005721DE">
      <w:pPr>
        <w:spacing w:after="0" w:line="240" w:lineRule="auto"/>
      </w:pPr>
      <w:r>
        <w:separator/>
      </w:r>
    </w:p>
  </w:footnote>
  <w:footnote w:type="continuationSeparator" w:id="0">
    <w:p w14:paraId="07DD696F" w14:textId="77777777" w:rsidR="005721DE" w:rsidRDefault="0057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1F84" w14:textId="77777777" w:rsidR="00DF3658" w:rsidRDefault="00DF3658" w:rsidP="00296EC0">
    <w:pPr>
      <w:pStyle w:val="Header"/>
      <w:jc w:val="center"/>
    </w:pPr>
  </w:p>
  <w:p w14:paraId="4A6AE25B" w14:textId="77777777" w:rsidR="00DF3658" w:rsidRDefault="00DF36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3CAB" w14:textId="73E66CAD" w:rsidR="00DF3658" w:rsidRPr="008A1BAA" w:rsidRDefault="00891803" w:rsidP="008A1BAA">
    <w:pPr>
      <w:pStyle w:val="Header"/>
    </w:pPr>
    <w:r>
      <w:rPr>
        <w:b/>
        <w:noProof/>
        <w:color w:val="000000"/>
        <w:sz w:val="24"/>
        <w:szCs w:val="24"/>
      </w:rPr>
      <w:drawing>
        <wp:anchor distT="0" distB="0" distL="114300" distR="114300" simplePos="0" relativeHeight="251658240" behindDoc="1" locked="0" layoutInCell="1" allowOverlap="1" wp14:anchorId="69E40E4C" wp14:editId="0D5F152B">
          <wp:simplePos x="0" y="0"/>
          <wp:positionH relativeFrom="margin">
            <wp:align>center</wp:align>
          </wp:positionH>
          <wp:positionV relativeFrom="paragraph">
            <wp:posOffset>628650</wp:posOffset>
          </wp:positionV>
          <wp:extent cx="3666490" cy="781050"/>
          <wp:effectExtent l="0" t="0" r="0" b="0"/>
          <wp:wrapTight wrapText="bothSides">
            <wp:wrapPolygon edited="0">
              <wp:start x="0" y="0"/>
              <wp:lineTo x="0" y="21073"/>
              <wp:lineTo x="21435" y="21073"/>
              <wp:lineTo x="21435" y="0"/>
              <wp:lineTo x="0" y="0"/>
            </wp:wrapPolygon>
          </wp:wrapTight>
          <wp:docPr id="338016389" name="Picture 1" descr="A blue triangle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41574" name="Picture 1" descr="A blue triangle with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37" b="29858"/>
                  <a:stretch/>
                </pic:blipFill>
                <pic:spPr bwMode="auto">
                  <a:xfrm>
                    <a:off x="0" y="0"/>
                    <a:ext cx="366649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0B22"/>
    <w:multiLevelType w:val="hybridMultilevel"/>
    <w:tmpl w:val="B77E0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30A2"/>
    <w:multiLevelType w:val="hybridMultilevel"/>
    <w:tmpl w:val="2EE67400"/>
    <w:lvl w:ilvl="0" w:tplc="35CE814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31D2E"/>
    <w:multiLevelType w:val="hybridMultilevel"/>
    <w:tmpl w:val="08620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A6EED"/>
    <w:multiLevelType w:val="hybridMultilevel"/>
    <w:tmpl w:val="D862B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E116D"/>
    <w:multiLevelType w:val="hybridMultilevel"/>
    <w:tmpl w:val="54A01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72578"/>
    <w:multiLevelType w:val="hybridMultilevel"/>
    <w:tmpl w:val="538A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D52ED"/>
    <w:multiLevelType w:val="hybridMultilevel"/>
    <w:tmpl w:val="648EF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96B67"/>
    <w:multiLevelType w:val="hybridMultilevel"/>
    <w:tmpl w:val="AB207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76FDB"/>
    <w:multiLevelType w:val="hybridMultilevel"/>
    <w:tmpl w:val="2E2A8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052971">
    <w:abstractNumId w:val="5"/>
  </w:num>
  <w:num w:numId="2" w16cid:durableId="110983217">
    <w:abstractNumId w:val="4"/>
  </w:num>
  <w:num w:numId="3" w16cid:durableId="1591163190">
    <w:abstractNumId w:val="0"/>
  </w:num>
  <w:num w:numId="4" w16cid:durableId="935291884">
    <w:abstractNumId w:val="2"/>
  </w:num>
  <w:num w:numId="5" w16cid:durableId="493764828">
    <w:abstractNumId w:val="3"/>
  </w:num>
  <w:num w:numId="6" w16cid:durableId="1314018067">
    <w:abstractNumId w:val="7"/>
  </w:num>
  <w:num w:numId="7" w16cid:durableId="420562682">
    <w:abstractNumId w:val="8"/>
  </w:num>
  <w:num w:numId="8" w16cid:durableId="351105235">
    <w:abstractNumId w:val="1"/>
  </w:num>
  <w:num w:numId="9" w16cid:durableId="1193835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58"/>
    <w:rsid w:val="00004494"/>
    <w:rsid w:val="00005ABD"/>
    <w:rsid w:val="00017000"/>
    <w:rsid w:val="00021386"/>
    <w:rsid w:val="0003327E"/>
    <w:rsid w:val="00037DBB"/>
    <w:rsid w:val="00037FC2"/>
    <w:rsid w:val="00040092"/>
    <w:rsid w:val="00057056"/>
    <w:rsid w:val="00061DD6"/>
    <w:rsid w:val="00062BB7"/>
    <w:rsid w:val="000631EE"/>
    <w:rsid w:val="000702FD"/>
    <w:rsid w:val="000730B7"/>
    <w:rsid w:val="00081BF7"/>
    <w:rsid w:val="00097F30"/>
    <w:rsid w:val="000A30EC"/>
    <w:rsid w:val="000A78F8"/>
    <w:rsid w:val="000B3A24"/>
    <w:rsid w:val="000D3268"/>
    <w:rsid w:val="000E365F"/>
    <w:rsid w:val="000E3D01"/>
    <w:rsid w:val="000E6C94"/>
    <w:rsid w:val="00105053"/>
    <w:rsid w:val="0010580A"/>
    <w:rsid w:val="00107565"/>
    <w:rsid w:val="001114CD"/>
    <w:rsid w:val="0011460E"/>
    <w:rsid w:val="00121BE2"/>
    <w:rsid w:val="00124867"/>
    <w:rsid w:val="00134F6F"/>
    <w:rsid w:val="0014210F"/>
    <w:rsid w:val="001425BE"/>
    <w:rsid w:val="00150799"/>
    <w:rsid w:val="001567B4"/>
    <w:rsid w:val="00157407"/>
    <w:rsid w:val="0015758A"/>
    <w:rsid w:val="00166DA6"/>
    <w:rsid w:val="00170903"/>
    <w:rsid w:val="0017197C"/>
    <w:rsid w:val="001821C3"/>
    <w:rsid w:val="00193A2C"/>
    <w:rsid w:val="00194C90"/>
    <w:rsid w:val="00196A29"/>
    <w:rsid w:val="001A2843"/>
    <w:rsid w:val="001A6B48"/>
    <w:rsid w:val="001B3BD6"/>
    <w:rsid w:val="001B3F3B"/>
    <w:rsid w:val="001C65E7"/>
    <w:rsid w:val="001D7B42"/>
    <w:rsid w:val="001E3E5C"/>
    <w:rsid w:val="001F0517"/>
    <w:rsid w:val="001F22F8"/>
    <w:rsid w:val="001F7E93"/>
    <w:rsid w:val="00200DF2"/>
    <w:rsid w:val="00213916"/>
    <w:rsid w:val="00213929"/>
    <w:rsid w:val="002154ED"/>
    <w:rsid w:val="002173CD"/>
    <w:rsid w:val="00250D16"/>
    <w:rsid w:val="002713A3"/>
    <w:rsid w:val="00276CC2"/>
    <w:rsid w:val="00276FA8"/>
    <w:rsid w:val="002846FF"/>
    <w:rsid w:val="00284A6F"/>
    <w:rsid w:val="00293692"/>
    <w:rsid w:val="00295D89"/>
    <w:rsid w:val="002D3188"/>
    <w:rsid w:val="002D4E0C"/>
    <w:rsid w:val="002E1924"/>
    <w:rsid w:val="002E5CDB"/>
    <w:rsid w:val="002E6719"/>
    <w:rsid w:val="002E6DA0"/>
    <w:rsid w:val="002F1FC2"/>
    <w:rsid w:val="002F71B4"/>
    <w:rsid w:val="0035003B"/>
    <w:rsid w:val="00365D1E"/>
    <w:rsid w:val="00381EA7"/>
    <w:rsid w:val="0038385E"/>
    <w:rsid w:val="00385302"/>
    <w:rsid w:val="00390490"/>
    <w:rsid w:val="00397E3A"/>
    <w:rsid w:val="003C4333"/>
    <w:rsid w:val="003D3A84"/>
    <w:rsid w:val="003D3B17"/>
    <w:rsid w:val="003E58ED"/>
    <w:rsid w:val="003F692E"/>
    <w:rsid w:val="00411B76"/>
    <w:rsid w:val="004138EC"/>
    <w:rsid w:val="0044016C"/>
    <w:rsid w:val="00444414"/>
    <w:rsid w:val="00444C57"/>
    <w:rsid w:val="00445AE4"/>
    <w:rsid w:val="004530AF"/>
    <w:rsid w:val="00465AF4"/>
    <w:rsid w:val="00470EB9"/>
    <w:rsid w:val="00472CE2"/>
    <w:rsid w:val="00481A73"/>
    <w:rsid w:val="00486152"/>
    <w:rsid w:val="004A4D2A"/>
    <w:rsid w:val="004A6CE4"/>
    <w:rsid w:val="004B1EEC"/>
    <w:rsid w:val="004C6856"/>
    <w:rsid w:val="004E5362"/>
    <w:rsid w:val="004E580C"/>
    <w:rsid w:val="00502943"/>
    <w:rsid w:val="0050391B"/>
    <w:rsid w:val="0050397D"/>
    <w:rsid w:val="00513EB5"/>
    <w:rsid w:val="005213DA"/>
    <w:rsid w:val="005311B6"/>
    <w:rsid w:val="0053481B"/>
    <w:rsid w:val="00540471"/>
    <w:rsid w:val="00541C56"/>
    <w:rsid w:val="00544CB3"/>
    <w:rsid w:val="00550F44"/>
    <w:rsid w:val="00556173"/>
    <w:rsid w:val="0055663D"/>
    <w:rsid w:val="0057212D"/>
    <w:rsid w:val="005721DE"/>
    <w:rsid w:val="00575C89"/>
    <w:rsid w:val="00582844"/>
    <w:rsid w:val="00590193"/>
    <w:rsid w:val="005918C8"/>
    <w:rsid w:val="005975AF"/>
    <w:rsid w:val="005A3618"/>
    <w:rsid w:val="005A3CEE"/>
    <w:rsid w:val="005B40C1"/>
    <w:rsid w:val="005B481E"/>
    <w:rsid w:val="005B4D9F"/>
    <w:rsid w:val="005B5D44"/>
    <w:rsid w:val="005F6A94"/>
    <w:rsid w:val="00615EE3"/>
    <w:rsid w:val="0061661D"/>
    <w:rsid w:val="006305BC"/>
    <w:rsid w:val="00636EE5"/>
    <w:rsid w:val="00636F7D"/>
    <w:rsid w:val="00637249"/>
    <w:rsid w:val="00662615"/>
    <w:rsid w:val="0068303E"/>
    <w:rsid w:val="00684743"/>
    <w:rsid w:val="006931E6"/>
    <w:rsid w:val="00697BAC"/>
    <w:rsid w:val="006A73C3"/>
    <w:rsid w:val="006E2FB8"/>
    <w:rsid w:val="006E4EEC"/>
    <w:rsid w:val="006E7508"/>
    <w:rsid w:val="006F0228"/>
    <w:rsid w:val="006F6B14"/>
    <w:rsid w:val="00724AFE"/>
    <w:rsid w:val="00727861"/>
    <w:rsid w:val="007318CF"/>
    <w:rsid w:val="00741E5D"/>
    <w:rsid w:val="00744421"/>
    <w:rsid w:val="00744746"/>
    <w:rsid w:val="00752BC8"/>
    <w:rsid w:val="0076465E"/>
    <w:rsid w:val="00774B25"/>
    <w:rsid w:val="00776715"/>
    <w:rsid w:val="00784DA9"/>
    <w:rsid w:val="00793B86"/>
    <w:rsid w:val="00794D7A"/>
    <w:rsid w:val="007A7A5A"/>
    <w:rsid w:val="007A7CB2"/>
    <w:rsid w:val="007B3B65"/>
    <w:rsid w:val="007B5306"/>
    <w:rsid w:val="007D007B"/>
    <w:rsid w:val="007F159E"/>
    <w:rsid w:val="007F239B"/>
    <w:rsid w:val="00800FC0"/>
    <w:rsid w:val="00805B07"/>
    <w:rsid w:val="00807A3F"/>
    <w:rsid w:val="00810A4D"/>
    <w:rsid w:val="0081576D"/>
    <w:rsid w:val="008335F4"/>
    <w:rsid w:val="0084613F"/>
    <w:rsid w:val="00876F86"/>
    <w:rsid w:val="00884C25"/>
    <w:rsid w:val="00885E58"/>
    <w:rsid w:val="00891211"/>
    <w:rsid w:val="00891803"/>
    <w:rsid w:val="00891A59"/>
    <w:rsid w:val="00895080"/>
    <w:rsid w:val="008A1D13"/>
    <w:rsid w:val="008A43A3"/>
    <w:rsid w:val="008B06C0"/>
    <w:rsid w:val="008B1CF3"/>
    <w:rsid w:val="008C0941"/>
    <w:rsid w:val="008C1703"/>
    <w:rsid w:val="008D11EB"/>
    <w:rsid w:val="008E344A"/>
    <w:rsid w:val="008E5E76"/>
    <w:rsid w:val="008E7358"/>
    <w:rsid w:val="008F1B07"/>
    <w:rsid w:val="00902FDD"/>
    <w:rsid w:val="00912D39"/>
    <w:rsid w:val="00932FF4"/>
    <w:rsid w:val="00933596"/>
    <w:rsid w:val="009339AE"/>
    <w:rsid w:val="009862A3"/>
    <w:rsid w:val="00986450"/>
    <w:rsid w:val="009B13F3"/>
    <w:rsid w:val="009C730F"/>
    <w:rsid w:val="009D12E0"/>
    <w:rsid w:val="009D4A58"/>
    <w:rsid w:val="009D7C7F"/>
    <w:rsid w:val="009F3617"/>
    <w:rsid w:val="009F692C"/>
    <w:rsid w:val="009F6971"/>
    <w:rsid w:val="00A10908"/>
    <w:rsid w:val="00A37301"/>
    <w:rsid w:val="00A43B67"/>
    <w:rsid w:val="00A44539"/>
    <w:rsid w:val="00A513DA"/>
    <w:rsid w:val="00A5247A"/>
    <w:rsid w:val="00A63169"/>
    <w:rsid w:val="00A6688B"/>
    <w:rsid w:val="00A677E2"/>
    <w:rsid w:val="00A72FE3"/>
    <w:rsid w:val="00A745A8"/>
    <w:rsid w:val="00A85CF1"/>
    <w:rsid w:val="00A85F34"/>
    <w:rsid w:val="00A878DF"/>
    <w:rsid w:val="00A91C4D"/>
    <w:rsid w:val="00A926DA"/>
    <w:rsid w:val="00AB5285"/>
    <w:rsid w:val="00AB797E"/>
    <w:rsid w:val="00AC2820"/>
    <w:rsid w:val="00AC6F4A"/>
    <w:rsid w:val="00AD1B5C"/>
    <w:rsid w:val="00AE7D32"/>
    <w:rsid w:val="00AF5DB1"/>
    <w:rsid w:val="00B06736"/>
    <w:rsid w:val="00B13098"/>
    <w:rsid w:val="00B25C92"/>
    <w:rsid w:val="00B34C06"/>
    <w:rsid w:val="00B357C3"/>
    <w:rsid w:val="00B407CC"/>
    <w:rsid w:val="00B47BF2"/>
    <w:rsid w:val="00B700C0"/>
    <w:rsid w:val="00B756D0"/>
    <w:rsid w:val="00B758C4"/>
    <w:rsid w:val="00B75A25"/>
    <w:rsid w:val="00B81727"/>
    <w:rsid w:val="00BA16E7"/>
    <w:rsid w:val="00BA6785"/>
    <w:rsid w:val="00BB08A4"/>
    <w:rsid w:val="00BC1842"/>
    <w:rsid w:val="00BC28D0"/>
    <w:rsid w:val="00BD7FC2"/>
    <w:rsid w:val="00BE0590"/>
    <w:rsid w:val="00BF064B"/>
    <w:rsid w:val="00BF5232"/>
    <w:rsid w:val="00C03604"/>
    <w:rsid w:val="00C07DB2"/>
    <w:rsid w:val="00C102CF"/>
    <w:rsid w:val="00C131BB"/>
    <w:rsid w:val="00C17BCC"/>
    <w:rsid w:val="00C217AB"/>
    <w:rsid w:val="00C227CE"/>
    <w:rsid w:val="00C36833"/>
    <w:rsid w:val="00C6250A"/>
    <w:rsid w:val="00C8544A"/>
    <w:rsid w:val="00C85F45"/>
    <w:rsid w:val="00C9492C"/>
    <w:rsid w:val="00CA625C"/>
    <w:rsid w:val="00CB5ACB"/>
    <w:rsid w:val="00CC0379"/>
    <w:rsid w:val="00CC558A"/>
    <w:rsid w:val="00CD355A"/>
    <w:rsid w:val="00CE1AD9"/>
    <w:rsid w:val="00CE49EF"/>
    <w:rsid w:val="00CF27E0"/>
    <w:rsid w:val="00CF6531"/>
    <w:rsid w:val="00D06057"/>
    <w:rsid w:val="00D148A7"/>
    <w:rsid w:val="00D14C76"/>
    <w:rsid w:val="00D23447"/>
    <w:rsid w:val="00D2485A"/>
    <w:rsid w:val="00D27858"/>
    <w:rsid w:val="00D30AF8"/>
    <w:rsid w:val="00D42AC9"/>
    <w:rsid w:val="00D519CE"/>
    <w:rsid w:val="00D5347C"/>
    <w:rsid w:val="00D5641A"/>
    <w:rsid w:val="00D60080"/>
    <w:rsid w:val="00D611D3"/>
    <w:rsid w:val="00D713F8"/>
    <w:rsid w:val="00D74C5B"/>
    <w:rsid w:val="00D97365"/>
    <w:rsid w:val="00DA0A47"/>
    <w:rsid w:val="00DA1AB8"/>
    <w:rsid w:val="00DB1277"/>
    <w:rsid w:val="00DC1C51"/>
    <w:rsid w:val="00DC3E3C"/>
    <w:rsid w:val="00DC676B"/>
    <w:rsid w:val="00DC6B3D"/>
    <w:rsid w:val="00DD3096"/>
    <w:rsid w:val="00DE4684"/>
    <w:rsid w:val="00DF3658"/>
    <w:rsid w:val="00DF69CA"/>
    <w:rsid w:val="00E028CC"/>
    <w:rsid w:val="00E02B82"/>
    <w:rsid w:val="00E11B99"/>
    <w:rsid w:val="00E209F0"/>
    <w:rsid w:val="00E31991"/>
    <w:rsid w:val="00E353D8"/>
    <w:rsid w:val="00E369BC"/>
    <w:rsid w:val="00E440F6"/>
    <w:rsid w:val="00E4577E"/>
    <w:rsid w:val="00E50F16"/>
    <w:rsid w:val="00E515E8"/>
    <w:rsid w:val="00E52614"/>
    <w:rsid w:val="00E56B4C"/>
    <w:rsid w:val="00E72F5D"/>
    <w:rsid w:val="00E823C6"/>
    <w:rsid w:val="00E848F3"/>
    <w:rsid w:val="00EA20A4"/>
    <w:rsid w:val="00EA5E09"/>
    <w:rsid w:val="00EA66B9"/>
    <w:rsid w:val="00EC0715"/>
    <w:rsid w:val="00EC2124"/>
    <w:rsid w:val="00EC485A"/>
    <w:rsid w:val="00ED5F8E"/>
    <w:rsid w:val="00F0351E"/>
    <w:rsid w:val="00F04CF3"/>
    <w:rsid w:val="00F36D35"/>
    <w:rsid w:val="00F5026C"/>
    <w:rsid w:val="00F65CC2"/>
    <w:rsid w:val="00F70726"/>
    <w:rsid w:val="00F71A97"/>
    <w:rsid w:val="00F836B2"/>
    <w:rsid w:val="00F85E96"/>
    <w:rsid w:val="00FB5386"/>
    <w:rsid w:val="00FC338B"/>
    <w:rsid w:val="00FD5BFD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8EAB9"/>
  <w15:chartTrackingRefBased/>
  <w15:docId w15:val="{F625F28E-45FF-4556-83E5-98AEAEC7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858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58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D278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58"/>
    <w:rPr>
      <w:lang w:val="el-GR"/>
    </w:rPr>
  </w:style>
  <w:style w:type="paragraph" w:styleId="ListParagraph">
    <w:name w:val="List Paragraph"/>
    <w:aliases w:val="Γράφημα,Κουκίδες,Texto corrido,Task Body,1st level - Bullet List Paragraph,Lettre d'introduction,Paragraphe de liste,Bullets_normal,Viñetas (Inicio Parrafo),Paragrafo elenco,3 Txt tabla,Zerrenda-paragrafoa,Lista viñetas,Listenabsatz,l"/>
    <w:basedOn w:val="Normal"/>
    <w:link w:val="ListParagraphChar"/>
    <w:uiPriority w:val="34"/>
    <w:qFormat/>
    <w:rsid w:val="004E5362"/>
    <w:pPr>
      <w:ind w:left="720"/>
      <w:contextualSpacing/>
    </w:pPr>
    <w:rPr>
      <w:lang w:val="en-US" w:bidi="he-IL"/>
    </w:rPr>
  </w:style>
  <w:style w:type="character" w:customStyle="1" w:styleId="ListParagraphChar">
    <w:name w:val="List Paragraph Char"/>
    <w:aliases w:val="Γράφημα Char,Κουκίδες Char,Texto corrido Char,Task Body Char,1st level - Bullet List Paragraph Char,Lettre d'introduction Char,Paragraphe de liste Char,Bullets_normal Char,Viñetas (Inicio Parrafo) Char,Paragrafo elenco Char,l Char"/>
    <w:basedOn w:val="DefaultParagraphFont"/>
    <w:link w:val="ListParagraph"/>
    <w:uiPriority w:val="34"/>
    <w:locked/>
    <w:rsid w:val="004E5362"/>
    <w:rPr>
      <w:lang w:bidi="he-IL"/>
    </w:rPr>
  </w:style>
  <w:style w:type="paragraph" w:styleId="BodyText">
    <w:name w:val="Body Text"/>
    <w:basedOn w:val="Normal"/>
    <w:link w:val="BodyTextChar"/>
    <w:uiPriority w:val="1"/>
    <w:qFormat/>
    <w:rsid w:val="004E5362"/>
    <w:pPr>
      <w:widowControl w:val="0"/>
      <w:autoSpaceDE w:val="0"/>
      <w:autoSpaceDN w:val="0"/>
      <w:spacing w:after="0" w:line="240" w:lineRule="auto"/>
      <w:ind w:left="423"/>
      <w:jc w:val="both"/>
    </w:pPr>
    <w:rPr>
      <w:rFonts w:ascii="Calibri" w:eastAsia="Calibri" w:hAnsi="Calibri" w:cs="Calibri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4E5362"/>
    <w:rPr>
      <w:rFonts w:ascii="Calibri" w:eastAsia="Calibri" w:hAnsi="Calibri" w:cs="Calibri"/>
      <w:lang w:val="en-GB"/>
    </w:rPr>
  </w:style>
  <w:style w:type="character" w:styleId="Hyperlink">
    <w:name w:val="Hyperlink"/>
    <w:basedOn w:val="DefaultParagraphFont"/>
    <w:uiPriority w:val="99"/>
    <w:unhideWhenUsed/>
    <w:rsid w:val="00521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3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41E5D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DC676B"/>
    <w:pPr>
      <w:spacing w:after="0" w:line="240" w:lineRule="auto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liopoulou@socialdoo.g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.Trokoudi@growthfund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hcap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FACAAC650F948A547D490E49B70D9" ma:contentTypeVersion="13" ma:contentTypeDescription="Create a new document." ma:contentTypeScope="" ma:versionID="d4e0dc8c7989a27b62c551fa60571a2b">
  <xsd:schema xmlns:xsd="http://www.w3.org/2001/XMLSchema" xmlns:xs="http://www.w3.org/2001/XMLSchema" xmlns:p="http://schemas.microsoft.com/office/2006/metadata/properties" xmlns:ns2="294edaad-5bc5-49a5-919c-57939d943652" xmlns:ns3="2f915cc7-a282-4d8e-9cf7-dafd470d585a" targetNamespace="http://schemas.microsoft.com/office/2006/metadata/properties" ma:root="true" ma:fieldsID="04c4a6114b08f8326f6482cd392729b8" ns2:_="" ns3:_="">
    <xsd:import namespace="294edaad-5bc5-49a5-919c-57939d943652"/>
    <xsd:import namespace="2f915cc7-a282-4d8e-9cf7-dafd470d5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edaad-5bc5-49a5-919c-57939d943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a4d24a-1a91-4f07-a956-42345f897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15cc7-a282-4d8e-9cf7-dafd470d58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f7858e-7ed5-4a7c-b402-ed1dd33e6071}" ma:internalName="TaxCatchAll" ma:showField="CatchAllData" ma:web="2f915cc7-a282-4d8e-9cf7-dafd470d5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915cc7-a282-4d8e-9cf7-dafd470d585a" xsi:nil="true"/>
    <lcf76f155ced4ddcb4097134ff3c332f xmlns="294edaad-5bc5-49a5-919c-57939d943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2D8F25-A477-4DD7-915C-008052ABE7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05943B-7FDA-446D-A873-7D04C103A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edaad-5bc5-49a5-919c-57939d943652"/>
    <ds:schemaRef ds:uri="2f915cc7-a282-4d8e-9cf7-dafd470d5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0EE08-A9C6-4E38-8A92-94DAFE6DB89F}">
  <ds:schemaRefs>
    <ds:schemaRef ds:uri="http://schemas.microsoft.com/office/2006/metadata/properties"/>
    <ds:schemaRef ds:uri="http://schemas.microsoft.com/office/infopath/2007/PartnerControls"/>
    <ds:schemaRef ds:uri="2f915cc7-a282-4d8e-9cf7-dafd470d585a"/>
    <ds:schemaRef ds:uri="294edaad-5bc5-49a5-919c-57939d9436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Mantziou Christina</dc:creator>
  <cp:keywords/>
  <dc:description/>
  <cp:lastModifiedBy>Faidra Economou</cp:lastModifiedBy>
  <cp:revision>2</cp:revision>
  <cp:lastPrinted>2025-03-31T08:25:00Z</cp:lastPrinted>
  <dcterms:created xsi:type="dcterms:W3CDTF">2025-03-31T14:35:00Z</dcterms:created>
  <dcterms:modified xsi:type="dcterms:W3CDTF">2025-03-31T14:35:00Z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7d23ad12-0311-4dfc-988c-8379f019ba01</vt:lpwstr>
  </property>
  <property fmtid="{D5CDD505-2E9C-101B-9397-08002B2CF9AE}" pid="3" name="ContentTypeId">
    <vt:lpwstr>0x01010018EFACAAC650F948A547D490E49B70D9</vt:lpwstr>
  </property>
  <property fmtid="{D5CDD505-2E9C-101B-9397-08002B2CF9AE}" pid="4" name="Order">
    <vt:r8>185200</vt:r8>
  </property>
  <property fmtid="{D5CDD505-2E9C-101B-9397-08002B2CF9AE}" pid="5" name="MSIP_Label_4a1cc303-c827-4bc8-8096-cfbe6c892f41_Enabled">
    <vt:lpwstr>true</vt:lpwstr>
  </property>
  <property fmtid="{D5CDD505-2E9C-101B-9397-08002B2CF9AE}" pid="6" name="MSIP_Label_4a1cc303-c827-4bc8-8096-cfbe6c892f41_SetDate">
    <vt:lpwstr>2025-01-21T09:26:42Z</vt:lpwstr>
  </property>
  <property fmtid="{D5CDD505-2E9C-101B-9397-08002B2CF9AE}" pid="7" name="MSIP_Label_4a1cc303-c827-4bc8-8096-cfbe6c892f41_Method">
    <vt:lpwstr>Standard</vt:lpwstr>
  </property>
  <property fmtid="{D5CDD505-2E9C-101B-9397-08002B2CF9AE}" pid="8" name="MSIP_Label_4a1cc303-c827-4bc8-8096-cfbe6c892f41_Name">
    <vt:lpwstr>Public</vt:lpwstr>
  </property>
  <property fmtid="{D5CDD505-2E9C-101B-9397-08002B2CF9AE}" pid="9" name="MSIP_Label_4a1cc303-c827-4bc8-8096-cfbe6c892f41_SiteId">
    <vt:lpwstr>2b0fc7ca-0745-42be-85de-e8eb8234033e</vt:lpwstr>
  </property>
  <property fmtid="{D5CDD505-2E9C-101B-9397-08002B2CF9AE}" pid="10" name="MSIP_Label_4a1cc303-c827-4bc8-8096-cfbe6c892f41_ActionId">
    <vt:lpwstr>418896b9-8704-4e3e-bf95-12658be47834</vt:lpwstr>
  </property>
  <property fmtid="{D5CDD505-2E9C-101B-9397-08002B2CF9AE}" pid="11" name="MSIP_Label_4a1cc303-c827-4bc8-8096-cfbe6c892f41_ContentBits">
    <vt:lpwstr>0</vt:lpwstr>
  </property>
</Properties>
</file>