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64F7" w14:textId="49F63113" w:rsidR="00867F0F" w:rsidRPr="00C554FF" w:rsidRDefault="00F76B7B" w:rsidP="007C3C4E">
      <w:pPr>
        <w:pStyle w:val="PBBody"/>
        <w:jc w:val="right"/>
        <w:rPr>
          <w:rFonts w:ascii="Aptos" w:hAnsi="Aptos" w:cstheme="minorHAnsi"/>
          <w:sz w:val="22"/>
          <w:szCs w:val="22"/>
        </w:rPr>
      </w:pPr>
      <w:bookmarkStart w:id="0" w:name="_Hlk166711233"/>
      <w:r>
        <w:rPr>
          <w:rFonts w:ascii="Aptos" w:hAnsi="Aptos" w:cs="Calibri"/>
          <w:sz w:val="22"/>
          <w:szCs w:val="22"/>
        </w:rPr>
        <w:t>December 8,</w:t>
      </w:r>
      <w:r w:rsidRPr="00C554FF">
        <w:rPr>
          <w:rFonts w:ascii="Aptos" w:hAnsi="Aptos" w:cstheme="minorHAnsi"/>
          <w:sz w:val="22"/>
          <w:szCs w:val="22"/>
        </w:rPr>
        <w:t xml:space="preserve"> </w:t>
      </w:r>
      <w:r w:rsidR="00867F0F" w:rsidRPr="00C554FF">
        <w:rPr>
          <w:rFonts w:ascii="Aptos" w:hAnsi="Aptos" w:cstheme="minorHAnsi"/>
          <w:sz w:val="22"/>
          <w:szCs w:val="22"/>
        </w:rPr>
        <w:t>2025</w:t>
      </w:r>
    </w:p>
    <w:p w14:paraId="28CAE1CD" w14:textId="77777777" w:rsidR="00F76B7B" w:rsidRDefault="00F76B7B" w:rsidP="00C554FF">
      <w:pPr>
        <w:pStyle w:val="PBBody"/>
        <w:jc w:val="center"/>
        <w:rPr>
          <w:rFonts w:ascii="Aptos" w:hAnsi="Aptos" w:cstheme="minorHAnsi"/>
          <w:b/>
          <w:bCs/>
          <w:sz w:val="22"/>
          <w:szCs w:val="22"/>
        </w:rPr>
      </w:pPr>
    </w:p>
    <w:p w14:paraId="1ADBFCF8" w14:textId="77777777" w:rsidR="00F76B7B" w:rsidRDefault="00F76B7B" w:rsidP="00C554FF">
      <w:pPr>
        <w:pStyle w:val="PBBody"/>
        <w:jc w:val="center"/>
        <w:rPr>
          <w:rFonts w:ascii="Aptos" w:hAnsi="Aptos" w:cstheme="minorHAnsi"/>
          <w:b/>
          <w:bCs/>
          <w:sz w:val="22"/>
          <w:szCs w:val="22"/>
        </w:rPr>
      </w:pPr>
    </w:p>
    <w:p w14:paraId="0C237301" w14:textId="0A452D00" w:rsidR="007C3C4E" w:rsidRPr="00FA4DA6" w:rsidRDefault="00C554FF" w:rsidP="00C554FF">
      <w:pPr>
        <w:pStyle w:val="PBBody"/>
        <w:jc w:val="center"/>
        <w:rPr>
          <w:rFonts w:ascii="Aptos" w:hAnsi="Aptos" w:cstheme="minorHAnsi"/>
          <w:b/>
          <w:bCs/>
          <w:sz w:val="22"/>
          <w:szCs w:val="22"/>
        </w:rPr>
      </w:pPr>
      <w:r w:rsidRPr="00FA4DA6">
        <w:rPr>
          <w:rFonts w:ascii="Aptos" w:hAnsi="Aptos" w:cstheme="minorHAnsi"/>
          <w:b/>
          <w:bCs/>
          <w:sz w:val="22"/>
          <w:szCs w:val="22"/>
        </w:rPr>
        <w:t>LAUNCH ANNOUNCEMENT</w:t>
      </w:r>
    </w:p>
    <w:p w14:paraId="21A76697" w14:textId="453B7A7C" w:rsidR="00773B22" w:rsidRPr="00FA4DA6" w:rsidRDefault="00773B22" w:rsidP="00773B22">
      <w:pPr>
        <w:pStyle w:val="PBBody"/>
        <w:rPr>
          <w:rFonts w:ascii="Aptos" w:hAnsi="Aptos" w:cstheme="minorHAnsi"/>
          <w:b/>
          <w:bCs/>
          <w:sz w:val="22"/>
          <w:szCs w:val="22"/>
        </w:rPr>
      </w:pPr>
      <w:r w:rsidRPr="00FA4DA6">
        <w:rPr>
          <w:rFonts w:ascii="Aptos" w:hAnsi="Aptos" w:cstheme="minorHAnsi"/>
          <w:b/>
          <w:bCs/>
          <w:sz w:val="22"/>
          <w:szCs w:val="22"/>
        </w:rPr>
        <w:t xml:space="preserve">This announcement is not a prospectus and does not constitute an offer to sell or the solicitation of an offer to purchase the securities described herein, nor shall there be any sale of the securities referred to herein in or into any jurisdiction where such offer, solicitation or sale would be unlawful prior to registration or qualification under the securities laws of any such jurisdiction. </w:t>
      </w:r>
    </w:p>
    <w:p w14:paraId="5926CB71" w14:textId="10656F3E" w:rsidR="00B3720B" w:rsidRPr="00FA4DA6" w:rsidRDefault="00773B22" w:rsidP="00ED3575">
      <w:pPr>
        <w:pStyle w:val="PBBody"/>
        <w:rPr>
          <w:rFonts w:ascii="Aptos" w:hAnsi="Aptos" w:cstheme="minorHAnsi"/>
          <w:b/>
          <w:bCs/>
          <w:sz w:val="22"/>
          <w:szCs w:val="22"/>
        </w:rPr>
      </w:pPr>
      <w:r w:rsidRPr="00FA4DA6">
        <w:rPr>
          <w:rFonts w:ascii="Aptos" w:hAnsi="Aptos" w:cstheme="minorHAnsi"/>
          <w:b/>
          <w:bCs/>
          <w:sz w:val="22"/>
          <w:szCs w:val="22"/>
        </w:rPr>
        <w:t xml:space="preserve">Neither this communication nor anything contained herein shall form the basis of, or be relied upon in connection with, any offer or commitment whatsoever in any jurisdiction. Any offer to acquire shares pursuant to the Sale (as defined below) will be made, and any investor should make </w:t>
      </w:r>
      <w:proofErr w:type="gramStart"/>
      <w:r w:rsidRPr="00FA4DA6">
        <w:rPr>
          <w:rFonts w:ascii="Aptos" w:hAnsi="Aptos" w:cstheme="minorHAnsi"/>
          <w:b/>
          <w:bCs/>
          <w:sz w:val="22"/>
          <w:szCs w:val="22"/>
        </w:rPr>
        <w:t>its</w:t>
      </w:r>
      <w:proofErr w:type="gramEnd"/>
      <w:r w:rsidRPr="00FA4DA6">
        <w:rPr>
          <w:rFonts w:ascii="Aptos" w:hAnsi="Aptos" w:cstheme="minorHAnsi"/>
          <w:b/>
          <w:bCs/>
          <w:sz w:val="22"/>
          <w:szCs w:val="22"/>
        </w:rPr>
        <w:t xml:space="preserve"> investment decision solely </w:t>
      </w:r>
      <w:proofErr w:type="gramStart"/>
      <w:r w:rsidRPr="00FA4DA6">
        <w:rPr>
          <w:rFonts w:ascii="Aptos" w:hAnsi="Aptos" w:cstheme="minorHAnsi"/>
          <w:b/>
          <w:bCs/>
          <w:sz w:val="22"/>
          <w:szCs w:val="22"/>
        </w:rPr>
        <w:t>on the basis of</w:t>
      </w:r>
      <w:proofErr w:type="gramEnd"/>
      <w:r w:rsidRPr="00FA4DA6">
        <w:rPr>
          <w:rFonts w:ascii="Aptos" w:hAnsi="Aptos" w:cstheme="minorHAnsi"/>
          <w:b/>
          <w:bCs/>
          <w:sz w:val="22"/>
          <w:szCs w:val="22"/>
        </w:rPr>
        <w:t>, publicly available information.</w:t>
      </w:r>
      <w:bookmarkStart w:id="1" w:name="OLE_LINK12"/>
      <w:bookmarkStart w:id="2" w:name="OLE_LINK5"/>
      <w:bookmarkStart w:id="3" w:name="OLE_LINK1"/>
      <w:bookmarkEnd w:id="0"/>
    </w:p>
    <w:p w14:paraId="4991B2F5" w14:textId="77777777" w:rsidR="00ED3575" w:rsidRPr="00FA4DA6" w:rsidRDefault="00ED3575" w:rsidP="00ED3575">
      <w:pPr>
        <w:pStyle w:val="PBBody"/>
        <w:rPr>
          <w:rFonts w:ascii="Aptos" w:hAnsi="Aptos" w:cstheme="minorHAnsi"/>
          <w:b/>
          <w:bCs/>
          <w:sz w:val="22"/>
          <w:szCs w:val="22"/>
        </w:rPr>
      </w:pPr>
    </w:p>
    <w:p w14:paraId="4BBCCE47" w14:textId="0B3458ED" w:rsidR="00B24A2C" w:rsidRPr="00FA4DA6" w:rsidRDefault="00867F0F" w:rsidP="007C3C4E">
      <w:pPr>
        <w:pStyle w:val="NormalWeb"/>
        <w:jc w:val="both"/>
        <w:rPr>
          <w:rFonts w:ascii="Aptos" w:hAnsi="Aptos" w:cstheme="majorHAnsi"/>
          <w:sz w:val="22"/>
          <w:szCs w:val="22"/>
        </w:rPr>
      </w:pPr>
      <w:r w:rsidRPr="00FA4DA6">
        <w:rPr>
          <w:rFonts w:ascii="Aptos" w:hAnsi="Aptos" w:cstheme="majorHAnsi"/>
          <w:sz w:val="22"/>
          <w:szCs w:val="22"/>
        </w:rPr>
        <w:t xml:space="preserve">EUROXX Securities SA acting on behalf of </w:t>
      </w:r>
      <w:r w:rsidR="00C554FF" w:rsidRPr="00FA4DA6">
        <w:rPr>
          <w:rFonts w:ascii="Aptos" w:hAnsi="Aptos" w:cstheme="majorHAnsi"/>
          <w:sz w:val="22"/>
          <w:szCs w:val="22"/>
        </w:rPr>
        <w:t xml:space="preserve">Hellenic Corporation of Assets and Participations S.A. </w:t>
      </w:r>
      <w:r w:rsidR="008D6444" w:rsidRPr="00FA4DA6">
        <w:rPr>
          <w:rFonts w:ascii="Aptos" w:hAnsi="Aptos" w:cstheme="majorHAnsi"/>
          <w:sz w:val="22"/>
          <w:szCs w:val="22"/>
        </w:rPr>
        <w:t>(the “</w:t>
      </w:r>
      <w:r w:rsidR="008D6444" w:rsidRPr="00FA4DA6">
        <w:rPr>
          <w:rFonts w:ascii="Aptos" w:hAnsi="Aptos" w:cstheme="majorHAnsi"/>
          <w:b/>
          <w:bCs/>
          <w:sz w:val="22"/>
          <w:szCs w:val="22"/>
        </w:rPr>
        <w:t>Seller</w:t>
      </w:r>
      <w:r w:rsidR="008D6444" w:rsidRPr="00FA4DA6">
        <w:rPr>
          <w:rFonts w:ascii="Aptos" w:hAnsi="Aptos" w:cstheme="majorHAnsi"/>
          <w:sz w:val="22"/>
          <w:szCs w:val="22"/>
        </w:rPr>
        <w:t xml:space="preserve">”) </w:t>
      </w:r>
      <w:bookmarkEnd w:id="1"/>
      <w:bookmarkEnd w:id="2"/>
      <w:bookmarkEnd w:id="3"/>
      <w:r w:rsidR="008D6444" w:rsidRPr="00FA4DA6">
        <w:rPr>
          <w:rFonts w:ascii="Aptos" w:hAnsi="Aptos" w:cstheme="majorHAnsi"/>
          <w:sz w:val="22"/>
          <w:szCs w:val="22"/>
        </w:rPr>
        <w:t xml:space="preserve">announce </w:t>
      </w:r>
      <w:r w:rsidR="004D13CE" w:rsidRPr="00FA4DA6">
        <w:rPr>
          <w:rFonts w:ascii="Aptos" w:hAnsi="Aptos" w:cstheme="majorHAnsi"/>
          <w:sz w:val="22"/>
          <w:szCs w:val="22"/>
        </w:rPr>
        <w:t>an</w:t>
      </w:r>
      <w:r w:rsidR="00997A7D" w:rsidRPr="00FA4DA6">
        <w:rPr>
          <w:rFonts w:ascii="Aptos" w:hAnsi="Aptos" w:cstheme="majorHAnsi"/>
          <w:sz w:val="22"/>
          <w:szCs w:val="22"/>
        </w:rPr>
        <w:t xml:space="preserve"> accelerated </w:t>
      </w:r>
      <w:r w:rsidR="00BB2922" w:rsidRPr="00FA4DA6">
        <w:rPr>
          <w:rFonts w:ascii="Aptos" w:hAnsi="Aptos" w:cstheme="majorHAnsi"/>
          <w:sz w:val="22"/>
          <w:szCs w:val="22"/>
        </w:rPr>
        <w:t>bookbuil</w:t>
      </w:r>
      <w:r w:rsidR="00BB2922">
        <w:rPr>
          <w:rFonts w:ascii="Aptos" w:hAnsi="Aptos" w:cstheme="majorHAnsi"/>
          <w:sz w:val="22"/>
          <w:szCs w:val="22"/>
        </w:rPr>
        <w:t>d</w:t>
      </w:r>
      <w:r w:rsidR="00BB2922" w:rsidRPr="00FA4DA6">
        <w:rPr>
          <w:rFonts w:ascii="Aptos" w:hAnsi="Aptos" w:cstheme="majorHAnsi"/>
          <w:sz w:val="22"/>
          <w:szCs w:val="22"/>
        </w:rPr>
        <w:t xml:space="preserve"> </w:t>
      </w:r>
      <w:r w:rsidR="004D13CE" w:rsidRPr="00FA4DA6">
        <w:rPr>
          <w:rFonts w:ascii="Aptos" w:hAnsi="Aptos" w:cstheme="majorHAnsi"/>
          <w:sz w:val="22"/>
          <w:szCs w:val="22"/>
        </w:rPr>
        <w:t>offering</w:t>
      </w:r>
      <w:r w:rsidR="00997A7D" w:rsidRPr="00FA4DA6">
        <w:rPr>
          <w:rFonts w:ascii="Aptos" w:hAnsi="Aptos" w:cstheme="majorHAnsi"/>
          <w:sz w:val="22"/>
          <w:szCs w:val="22"/>
        </w:rPr>
        <w:t xml:space="preserve"> </w:t>
      </w:r>
      <w:r w:rsidR="007E1914" w:rsidRPr="00FA4DA6">
        <w:rPr>
          <w:rFonts w:ascii="Aptos" w:hAnsi="Aptos" w:cstheme="majorHAnsi"/>
          <w:sz w:val="22"/>
          <w:szCs w:val="22"/>
        </w:rPr>
        <w:t>up to 1,815,000</w:t>
      </w:r>
      <w:r w:rsidR="008D0E3E" w:rsidRPr="00FA4DA6">
        <w:rPr>
          <w:rFonts w:ascii="Aptos" w:hAnsi="Aptos" w:cstheme="majorHAnsi"/>
          <w:sz w:val="22"/>
          <w:szCs w:val="22"/>
        </w:rPr>
        <w:t xml:space="preserve"> ordinary</w:t>
      </w:r>
      <w:r w:rsidR="008D6444" w:rsidRPr="00FA4DA6">
        <w:rPr>
          <w:rFonts w:ascii="Aptos" w:hAnsi="Aptos" w:cstheme="majorHAnsi"/>
          <w:sz w:val="22"/>
          <w:szCs w:val="22"/>
        </w:rPr>
        <w:t xml:space="preserve"> shares </w:t>
      </w:r>
      <w:r w:rsidR="006323D1" w:rsidRPr="00FA4DA6">
        <w:rPr>
          <w:rFonts w:ascii="Aptos" w:hAnsi="Aptos" w:cstheme="majorHAnsi"/>
          <w:sz w:val="22"/>
          <w:szCs w:val="22"/>
        </w:rPr>
        <w:t xml:space="preserve">of </w:t>
      </w:r>
      <w:r w:rsidR="007C3C4E" w:rsidRPr="00FA4DA6">
        <w:rPr>
          <w:rFonts w:ascii="Aptos" w:hAnsi="Aptos" w:cstheme="majorHAnsi"/>
          <w:sz w:val="22"/>
          <w:szCs w:val="22"/>
        </w:rPr>
        <w:t>EY</w:t>
      </w:r>
      <w:r w:rsidR="006F67E1" w:rsidRPr="00FA4DA6">
        <w:rPr>
          <w:rFonts w:ascii="Aptos" w:hAnsi="Aptos" w:cstheme="majorHAnsi"/>
          <w:sz w:val="22"/>
          <w:szCs w:val="22"/>
        </w:rPr>
        <w:t>ATH</w:t>
      </w:r>
      <w:r w:rsidR="007C3C4E" w:rsidRPr="00FA4DA6">
        <w:rPr>
          <w:rFonts w:ascii="Aptos" w:hAnsi="Aptos" w:cstheme="majorHAnsi"/>
          <w:sz w:val="22"/>
          <w:szCs w:val="22"/>
        </w:rPr>
        <w:t xml:space="preserve"> S.A.</w:t>
      </w:r>
      <w:r w:rsidRPr="00FA4DA6">
        <w:rPr>
          <w:rFonts w:ascii="Aptos" w:hAnsi="Aptos" w:cstheme="majorHAnsi"/>
          <w:sz w:val="22"/>
          <w:szCs w:val="22"/>
        </w:rPr>
        <w:t xml:space="preserve"> (</w:t>
      </w:r>
      <w:r w:rsidR="008D6444" w:rsidRPr="00FA4DA6">
        <w:rPr>
          <w:rFonts w:ascii="Aptos" w:hAnsi="Aptos" w:cstheme="majorHAnsi"/>
          <w:sz w:val="22"/>
          <w:szCs w:val="22"/>
        </w:rPr>
        <w:t xml:space="preserve">the </w:t>
      </w:r>
      <w:r w:rsidRPr="00FA4DA6">
        <w:rPr>
          <w:rFonts w:ascii="Aptos" w:hAnsi="Aptos" w:cstheme="majorHAnsi"/>
          <w:sz w:val="22"/>
          <w:szCs w:val="22"/>
        </w:rPr>
        <w:t>"</w:t>
      </w:r>
      <w:r w:rsidR="008D6444" w:rsidRPr="00FA4DA6">
        <w:rPr>
          <w:rFonts w:ascii="Aptos" w:hAnsi="Aptos" w:cstheme="majorHAnsi"/>
          <w:b/>
          <w:sz w:val="22"/>
          <w:szCs w:val="22"/>
        </w:rPr>
        <w:t>Company</w:t>
      </w:r>
      <w:r w:rsidRPr="00FA4DA6">
        <w:rPr>
          <w:rFonts w:ascii="Aptos" w:hAnsi="Aptos" w:cstheme="majorHAnsi"/>
          <w:bCs/>
          <w:sz w:val="22"/>
          <w:szCs w:val="22"/>
        </w:rPr>
        <w:t xml:space="preserve">", </w:t>
      </w:r>
      <w:r w:rsidR="008D6444" w:rsidRPr="00FA4DA6">
        <w:rPr>
          <w:rFonts w:ascii="Aptos" w:hAnsi="Aptos" w:cstheme="majorHAnsi"/>
          <w:sz w:val="22"/>
          <w:szCs w:val="22"/>
        </w:rPr>
        <w:t>the “</w:t>
      </w:r>
      <w:r w:rsidR="008D6444" w:rsidRPr="00FA4DA6">
        <w:rPr>
          <w:rFonts w:ascii="Aptos" w:hAnsi="Aptos" w:cstheme="majorHAnsi"/>
          <w:b/>
          <w:bCs/>
          <w:sz w:val="22"/>
          <w:szCs w:val="22"/>
        </w:rPr>
        <w:t>Shares</w:t>
      </w:r>
      <w:r w:rsidR="008D6444" w:rsidRPr="00FA4DA6">
        <w:rPr>
          <w:rFonts w:ascii="Aptos" w:hAnsi="Aptos" w:cstheme="majorHAnsi"/>
          <w:sz w:val="22"/>
          <w:szCs w:val="22"/>
        </w:rPr>
        <w:t>”</w:t>
      </w:r>
      <w:r w:rsidRPr="00FA4DA6">
        <w:rPr>
          <w:rFonts w:ascii="Aptos" w:hAnsi="Aptos" w:cstheme="majorHAnsi"/>
          <w:sz w:val="22"/>
          <w:szCs w:val="22"/>
        </w:rPr>
        <w:t xml:space="preserve"> and </w:t>
      </w:r>
      <w:r w:rsidR="008D6444" w:rsidRPr="00FA4DA6">
        <w:rPr>
          <w:rFonts w:ascii="Aptos" w:hAnsi="Aptos" w:cstheme="majorHAnsi"/>
          <w:sz w:val="22"/>
          <w:szCs w:val="22"/>
        </w:rPr>
        <w:t>the “</w:t>
      </w:r>
      <w:r w:rsidR="008D6444" w:rsidRPr="00FA4DA6">
        <w:rPr>
          <w:rFonts w:ascii="Aptos" w:hAnsi="Aptos" w:cstheme="majorHAnsi"/>
          <w:b/>
          <w:sz w:val="22"/>
          <w:szCs w:val="22"/>
        </w:rPr>
        <w:t>Sale</w:t>
      </w:r>
      <w:r w:rsidR="008D6444" w:rsidRPr="00FA4DA6">
        <w:rPr>
          <w:rFonts w:ascii="Aptos" w:hAnsi="Aptos" w:cstheme="majorHAnsi"/>
          <w:sz w:val="22"/>
          <w:szCs w:val="22"/>
        </w:rPr>
        <w:t xml:space="preserve">”), representing </w:t>
      </w:r>
      <w:r w:rsidR="00922E02" w:rsidRPr="00FA4DA6">
        <w:rPr>
          <w:rFonts w:ascii="Aptos" w:hAnsi="Aptos" w:cstheme="majorHAnsi"/>
          <w:sz w:val="22"/>
          <w:szCs w:val="22"/>
        </w:rPr>
        <w:t xml:space="preserve">approximately </w:t>
      </w:r>
      <w:r w:rsidR="006F67E1" w:rsidRPr="00FA4DA6">
        <w:rPr>
          <w:rFonts w:ascii="Aptos" w:hAnsi="Aptos" w:cstheme="majorHAnsi"/>
          <w:sz w:val="22"/>
          <w:szCs w:val="22"/>
        </w:rPr>
        <w:t>5</w:t>
      </w:r>
      <w:r w:rsidR="00ED3575" w:rsidRPr="00FA4DA6">
        <w:rPr>
          <w:rFonts w:ascii="Aptos" w:hAnsi="Aptos" w:cstheme="majorHAnsi"/>
          <w:sz w:val="22"/>
          <w:szCs w:val="22"/>
        </w:rPr>
        <w:t>.</w:t>
      </w:r>
      <w:r w:rsidR="006F67E1" w:rsidRPr="00FA4DA6">
        <w:rPr>
          <w:rFonts w:ascii="Aptos" w:hAnsi="Aptos" w:cstheme="majorHAnsi"/>
          <w:sz w:val="22"/>
          <w:szCs w:val="22"/>
        </w:rPr>
        <w:t>0</w:t>
      </w:r>
      <w:r w:rsidR="008D6444" w:rsidRPr="00FA4DA6">
        <w:rPr>
          <w:rFonts w:ascii="Aptos" w:hAnsi="Aptos" w:cstheme="majorHAnsi"/>
          <w:sz w:val="22"/>
          <w:szCs w:val="22"/>
        </w:rPr>
        <w:t xml:space="preserve">% of the Company’s existing share capital. </w:t>
      </w:r>
    </w:p>
    <w:p w14:paraId="1A76811B" w14:textId="15B06898" w:rsidR="00AE1295" w:rsidRPr="00FA4DA6" w:rsidRDefault="006E09D8" w:rsidP="007C3C4E">
      <w:pPr>
        <w:pStyle w:val="NormalWeb"/>
        <w:jc w:val="both"/>
        <w:rPr>
          <w:rFonts w:ascii="Aptos" w:hAnsi="Aptos" w:cstheme="majorHAnsi"/>
          <w:sz w:val="22"/>
          <w:szCs w:val="22"/>
        </w:rPr>
      </w:pPr>
      <w:r w:rsidRPr="00FA4DA6">
        <w:rPr>
          <w:rFonts w:ascii="Aptos" w:hAnsi="Aptos" w:cstheme="majorHAnsi"/>
          <w:sz w:val="22"/>
          <w:szCs w:val="22"/>
        </w:rPr>
        <w:t>An accelerated bookbuild offering of the Shares to institutional investors is expected to launch</w:t>
      </w:r>
      <w:r w:rsidRPr="00FA4DA6" w:rsidDel="006E09D8">
        <w:rPr>
          <w:rFonts w:ascii="Aptos" w:hAnsi="Aptos" w:cstheme="majorHAnsi"/>
          <w:sz w:val="22"/>
          <w:szCs w:val="22"/>
        </w:rPr>
        <w:t xml:space="preserve"> </w:t>
      </w:r>
      <w:r w:rsidR="008D6444" w:rsidRPr="00FA4DA6">
        <w:rPr>
          <w:rFonts w:ascii="Aptos" w:hAnsi="Aptos" w:cstheme="majorHAnsi"/>
          <w:sz w:val="22"/>
          <w:szCs w:val="22"/>
        </w:rPr>
        <w:t>following this announcement</w:t>
      </w:r>
      <w:r w:rsidR="001E477C" w:rsidRPr="00FA4DA6">
        <w:rPr>
          <w:rFonts w:ascii="Aptos" w:hAnsi="Aptos"/>
        </w:rPr>
        <w:t xml:space="preserve"> </w:t>
      </w:r>
      <w:r w:rsidR="00FA4DA6" w:rsidRPr="00FA4DA6">
        <w:rPr>
          <w:rFonts w:ascii="Aptos" w:hAnsi="Aptos"/>
        </w:rPr>
        <w:t xml:space="preserve">and </w:t>
      </w:r>
      <w:r w:rsidR="001E477C" w:rsidRPr="00FA4DA6">
        <w:rPr>
          <w:rFonts w:ascii="Aptos" w:hAnsi="Aptos" w:cstheme="majorHAnsi"/>
          <w:sz w:val="22"/>
          <w:szCs w:val="22"/>
        </w:rPr>
        <w:t>will be conducted through the Athens Stock Exchange Electronic Book Building (“EBB”), which will remain open on December 8, 2025, from 18:00 to 20:00 local time</w:t>
      </w:r>
      <w:r w:rsidR="008D6444" w:rsidRPr="00FA4DA6">
        <w:rPr>
          <w:rFonts w:ascii="Aptos" w:hAnsi="Aptos" w:cstheme="majorHAnsi"/>
          <w:sz w:val="22"/>
          <w:szCs w:val="22"/>
        </w:rPr>
        <w:t xml:space="preserve">. </w:t>
      </w:r>
    </w:p>
    <w:p w14:paraId="5FDC672D" w14:textId="43D3FA51" w:rsidR="006D4A7A" w:rsidRPr="00FA4DA6" w:rsidRDefault="008D6444" w:rsidP="007C3C4E">
      <w:pPr>
        <w:jc w:val="both"/>
        <w:rPr>
          <w:rFonts w:ascii="Aptos" w:hAnsi="Aptos" w:cstheme="majorHAnsi"/>
          <w:bCs/>
        </w:rPr>
      </w:pPr>
      <w:bookmarkStart w:id="4" w:name="OLE_LINK7"/>
      <w:r w:rsidRPr="00FA4DA6">
        <w:rPr>
          <w:rFonts w:ascii="Aptos" w:hAnsi="Aptos" w:cstheme="majorHAnsi"/>
          <w:bCs/>
        </w:rPr>
        <w:t xml:space="preserve">The </w:t>
      </w:r>
      <w:r w:rsidR="004E2F70" w:rsidRPr="00FA4DA6">
        <w:rPr>
          <w:rFonts w:ascii="Aptos" w:hAnsi="Aptos" w:cstheme="majorHAnsi"/>
          <w:bCs/>
        </w:rPr>
        <w:t xml:space="preserve">Sale </w:t>
      </w:r>
      <w:r w:rsidR="00867F0F" w:rsidRPr="00FA4DA6">
        <w:rPr>
          <w:rFonts w:ascii="Aptos" w:hAnsi="Aptos" w:cstheme="majorHAnsi"/>
          <w:bCs/>
        </w:rPr>
        <w:t xml:space="preserve">will </w:t>
      </w:r>
      <w:r w:rsidR="006F67E1" w:rsidRPr="00FA4DA6">
        <w:rPr>
          <w:rFonts w:ascii="Aptos" w:hAnsi="Aptos" w:cstheme="majorHAnsi"/>
          <w:bCs/>
        </w:rPr>
        <w:t xml:space="preserve">not </w:t>
      </w:r>
      <w:r w:rsidR="00867F0F" w:rsidRPr="00FA4DA6">
        <w:rPr>
          <w:rFonts w:ascii="Aptos" w:hAnsi="Aptos" w:cstheme="majorHAnsi"/>
          <w:bCs/>
        </w:rPr>
        <w:t>comprise the entirety of the Seller</w:t>
      </w:r>
      <w:r w:rsidR="006F67E1" w:rsidRPr="00FA4DA6">
        <w:rPr>
          <w:rFonts w:ascii="Aptos" w:hAnsi="Aptos" w:cstheme="majorHAnsi"/>
          <w:bCs/>
        </w:rPr>
        <w:t>’</w:t>
      </w:r>
      <w:r w:rsidR="00867F0F" w:rsidRPr="00FA4DA6">
        <w:rPr>
          <w:rFonts w:ascii="Aptos" w:hAnsi="Aptos" w:cstheme="majorHAnsi"/>
          <w:bCs/>
        </w:rPr>
        <w:t>s interest in the Company.</w:t>
      </w:r>
      <w:bookmarkEnd w:id="4"/>
      <w:r w:rsidR="0036506F" w:rsidRPr="00FA4DA6">
        <w:rPr>
          <w:rFonts w:ascii="Aptos" w:hAnsi="Aptos" w:cstheme="majorHAnsi"/>
          <w:bCs/>
        </w:rPr>
        <w:t xml:space="preserve"> </w:t>
      </w:r>
      <w:r w:rsidR="007B1D33" w:rsidRPr="00FA4DA6">
        <w:rPr>
          <w:rFonts w:ascii="Aptos" w:hAnsi="Aptos" w:cstheme="majorHAnsi"/>
          <w:bCs/>
        </w:rPr>
        <w:t xml:space="preserve">Following the proposed Sale </w:t>
      </w:r>
      <w:r w:rsidR="00F76B7B" w:rsidRPr="00FA4DA6">
        <w:rPr>
          <w:rFonts w:ascii="Aptos" w:hAnsi="Aptos" w:cstheme="majorHAnsi"/>
          <w:bCs/>
        </w:rPr>
        <w:t xml:space="preserve">for the totality </w:t>
      </w:r>
      <w:r w:rsidR="007B1D33" w:rsidRPr="00FA4DA6">
        <w:rPr>
          <w:rFonts w:ascii="Aptos" w:hAnsi="Aptos" w:cstheme="majorHAnsi"/>
          <w:bCs/>
        </w:rPr>
        <w:t>of the Shares</w:t>
      </w:r>
      <w:r w:rsidR="009D7CF0" w:rsidRPr="00FA4DA6">
        <w:rPr>
          <w:rFonts w:ascii="Aptos" w:hAnsi="Aptos" w:cstheme="majorHAnsi"/>
          <w:bCs/>
        </w:rPr>
        <w:t>,</w:t>
      </w:r>
      <w:r w:rsidR="007B1D33" w:rsidRPr="00FA4DA6">
        <w:rPr>
          <w:rFonts w:ascii="Aptos" w:hAnsi="Aptos" w:cstheme="majorHAnsi"/>
          <w:bCs/>
        </w:rPr>
        <w:t xml:space="preserve"> the Seller will retain at least </w:t>
      </w:r>
      <w:r w:rsidR="009D7CF0" w:rsidRPr="00FA4DA6">
        <w:rPr>
          <w:rFonts w:ascii="Aptos" w:hAnsi="Aptos" w:cstheme="majorHAnsi"/>
          <w:bCs/>
        </w:rPr>
        <w:t>19.</w:t>
      </w:r>
      <w:r w:rsidR="00255C3A" w:rsidRPr="00FA4DA6">
        <w:rPr>
          <w:rFonts w:ascii="Aptos" w:hAnsi="Aptos" w:cstheme="majorHAnsi"/>
          <w:bCs/>
        </w:rPr>
        <w:t>0</w:t>
      </w:r>
      <w:r w:rsidR="009D7CF0" w:rsidRPr="00FA4DA6">
        <w:rPr>
          <w:rFonts w:ascii="Aptos" w:hAnsi="Aptos" w:cstheme="majorHAnsi"/>
          <w:bCs/>
        </w:rPr>
        <w:t>2</w:t>
      </w:r>
      <w:r w:rsidR="007B1D33" w:rsidRPr="00FA4DA6">
        <w:rPr>
          <w:rFonts w:ascii="Aptos" w:hAnsi="Aptos" w:cstheme="majorHAnsi"/>
          <w:bCs/>
        </w:rPr>
        <w:t>%</w:t>
      </w:r>
      <w:r w:rsidR="008D0E3E" w:rsidRPr="00FA4DA6">
        <w:rPr>
          <w:rFonts w:ascii="Aptos" w:hAnsi="Aptos" w:cstheme="majorHAnsi"/>
          <w:bCs/>
        </w:rPr>
        <w:t xml:space="preserve"> </w:t>
      </w:r>
      <w:r w:rsidR="007B1D33" w:rsidRPr="00FA4DA6">
        <w:rPr>
          <w:rFonts w:ascii="Aptos" w:hAnsi="Aptos" w:cstheme="majorHAnsi"/>
          <w:bCs/>
        </w:rPr>
        <w:t>of the share capital in</w:t>
      </w:r>
      <w:r w:rsidR="009D7CF0" w:rsidRPr="00FA4DA6">
        <w:rPr>
          <w:rFonts w:ascii="Aptos" w:hAnsi="Aptos" w:cstheme="majorHAnsi"/>
          <w:bCs/>
        </w:rPr>
        <w:t xml:space="preserve"> the Company.</w:t>
      </w:r>
    </w:p>
    <w:p w14:paraId="6FF1ECA3" w14:textId="59F3B387" w:rsidR="00AD1299" w:rsidRPr="00FA4DA6" w:rsidRDefault="008C5129" w:rsidP="007C3C4E">
      <w:pPr>
        <w:pStyle w:val="NormalWeb"/>
        <w:jc w:val="both"/>
        <w:rPr>
          <w:rFonts w:ascii="Aptos" w:hAnsi="Aptos" w:cstheme="majorHAnsi"/>
          <w:sz w:val="22"/>
          <w:szCs w:val="22"/>
        </w:rPr>
      </w:pPr>
      <w:bookmarkStart w:id="5" w:name="OLE_LINK19"/>
      <w:r w:rsidRPr="00FA4DA6">
        <w:rPr>
          <w:rFonts w:ascii="Aptos" w:hAnsi="Aptos" w:cstheme="majorHAnsi"/>
          <w:sz w:val="22"/>
          <w:szCs w:val="22"/>
        </w:rPr>
        <w:t xml:space="preserve">EUROXX Securities SA </w:t>
      </w:r>
      <w:r w:rsidR="006F67E1" w:rsidRPr="00FA4DA6">
        <w:rPr>
          <w:rFonts w:ascii="Aptos" w:hAnsi="Aptos" w:cstheme="majorHAnsi"/>
          <w:sz w:val="22"/>
          <w:szCs w:val="22"/>
        </w:rPr>
        <w:t xml:space="preserve">is </w:t>
      </w:r>
      <w:r w:rsidRPr="00FA4DA6">
        <w:rPr>
          <w:rFonts w:ascii="Aptos" w:hAnsi="Aptos" w:cstheme="majorHAnsi"/>
          <w:sz w:val="22"/>
          <w:szCs w:val="22"/>
        </w:rPr>
        <w:t xml:space="preserve">acting as </w:t>
      </w:r>
      <w:r w:rsidR="006F67E1" w:rsidRPr="00FA4DA6">
        <w:rPr>
          <w:rFonts w:ascii="Aptos" w:hAnsi="Aptos" w:cstheme="majorHAnsi"/>
          <w:sz w:val="22"/>
          <w:szCs w:val="22"/>
        </w:rPr>
        <w:t>Manager</w:t>
      </w:r>
      <w:r w:rsidR="00984E2F" w:rsidRPr="00FA4DA6">
        <w:rPr>
          <w:rFonts w:ascii="Aptos" w:hAnsi="Aptos" w:cstheme="majorHAnsi"/>
          <w:sz w:val="22"/>
          <w:szCs w:val="22"/>
        </w:rPr>
        <w:t xml:space="preserve"> </w:t>
      </w:r>
      <w:r w:rsidR="006F67E1" w:rsidRPr="00FA4DA6">
        <w:rPr>
          <w:rFonts w:ascii="Aptos" w:hAnsi="Aptos" w:cstheme="majorHAnsi"/>
          <w:sz w:val="22"/>
          <w:szCs w:val="22"/>
        </w:rPr>
        <w:t>f</w:t>
      </w:r>
      <w:r w:rsidRPr="00FA4DA6">
        <w:rPr>
          <w:rFonts w:ascii="Aptos" w:hAnsi="Aptos" w:cstheme="majorHAnsi"/>
          <w:sz w:val="22"/>
          <w:szCs w:val="22"/>
        </w:rPr>
        <w:t>o</w:t>
      </w:r>
      <w:r w:rsidR="006F67E1" w:rsidRPr="00FA4DA6">
        <w:rPr>
          <w:rFonts w:ascii="Aptos" w:hAnsi="Aptos" w:cstheme="majorHAnsi"/>
          <w:sz w:val="22"/>
          <w:szCs w:val="22"/>
        </w:rPr>
        <w:t>r</w:t>
      </w:r>
      <w:r w:rsidRPr="00FA4DA6">
        <w:rPr>
          <w:rFonts w:ascii="Aptos" w:hAnsi="Aptos" w:cstheme="majorHAnsi"/>
          <w:sz w:val="22"/>
          <w:szCs w:val="22"/>
        </w:rPr>
        <w:t xml:space="preserve"> the accelerated </w:t>
      </w:r>
      <w:r w:rsidR="007C3C4E" w:rsidRPr="00FA4DA6">
        <w:rPr>
          <w:rFonts w:ascii="Aptos" w:hAnsi="Aptos" w:cstheme="majorHAnsi"/>
          <w:sz w:val="22"/>
          <w:szCs w:val="22"/>
        </w:rPr>
        <w:t xml:space="preserve">bookbuilt </w:t>
      </w:r>
      <w:r w:rsidRPr="00FA4DA6">
        <w:rPr>
          <w:rFonts w:ascii="Aptos" w:hAnsi="Aptos" w:cstheme="majorHAnsi"/>
          <w:sz w:val="22"/>
          <w:szCs w:val="22"/>
        </w:rPr>
        <w:t>offering.</w:t>
      </w:r>
    </w:p>
    <w:bookmarkEnd w:id="5"/>
    <w:p w14:paraId="2F101DE1" w14:textId="6EE023E1" w:rsidR="00AD1299" w:rsidRPr="00FA4DA6" w:rsidRDefault="00745E72" w:rsidP="00C554FF">
      <w:pPr>
        <w:pStyle w:val="NormalWeb"/>
        <w:pBdr>
          <w:bottom w:val="single" w:sz="6" w:space="0" w:color="auto"/>
        </w:pBdr>
        <w:jc w:val="both"/>
        <w:rPr>
          <w:rFonts w:ascii="Aptos" w:hAnsi="Aptos" w:cstheme="majorHAnsi"/>
          <w:sz w:val="22"/>
          <w:szCs w:val="22"/>
        </w:rPr>
      </w:pPr>
      <w:r w:rsidRPr="00FA4DA6">
        <w:rPr>
          <w:rFonts w:ascii="Aptos" w:hAnsi="Aptos" w:cstheme="majorHAnsi"/>
          <w:sz w:val="22"/>
          <w:szCs w:val="22"/>
        </w:rPr>
        <w:t>The final number of Shares to be sold, the price per Share and the results of the Sale will be announced following completion of the accelerated bookbuil</w:t>
      </w:r>
      <w:r w:rsidR="00FE20DC" w:rsidRPr="00FA4DA6">
        <w:rPr>
          <w:rFonts w:ascii="Aptos" w:hAnsi="Aptos" w:cstheme="majorHAnsi"/>
          <w:sz w:val="22"/>
          <w:szCs w:val="22"/>
        </w:rPr>
        <w:t>d</w:t>
      </w:r>
      <w:r w:rsidRPr="00FA4DA6">
        <w:rPr>
          <w:rFonts w:ascii="Aptos" w:hAnsi="Aptos" w:cstheme="majorHAnsi"/>
          <w:sz w:val="22"/>
          <w:szCs w:val="22"/>
        </w:rPr>
        <w:t xml:space="preserve"> process. The timing for the completion of the accelerated bookbuild process, pricing and allocations are at the absolute discretion of the Seller</w:t>
      </w:r>
      <w:r w:rsidR="004D13CE" w:rsidRPr="00FA4DA6">
        <w:rPr>
          <w:rFonts w:ascii="Aptos" w:hAnsi="Aptos" w:cstheme="majorHAnsi"/>
          <w:sz w:val="22"/>
          <w:szCs w:val="22"/>
        </w:rPr>
        <w:t xml:space="preserve"> and </w:t>
      </w:r>
      <w:r w:rsidRPr="00FA4DA6">
        <w:rPr>
          <w:rFonts w:ascii="Aptos" w:hAnsi="Aptos" w:cstheme="majorHAnsi"/>
          <w:sz w:val="22"/>
          <w:szCs w:val="22"/>
        </w:rPr>
        <w:t xml:space="preserve">the </w:t>
      </w:r>
      <w:r w:rsidR="006F67E1" w:rsidRPr="00FA4DA6">
        <w:rPr>
          <w:rFonts w:ascii="Aptos" w:hAnsi="Aptos" w:cstheme="majorHAnsi"/>
          <w:sz w:val="22"/>
          <w:szCs w:val="22"/>
        </w:rPr>
        <w:t>Manager</w:t>
      </w:r>
      <w:r w:rsidRPr="00FA4DA6">
        <w:rPr>
          <w:rFonts w:ascii="Aptos" w:hAnsi="Aptos" w:cstheme="majorHAnsi"/>
          <w:sz w:val="22"/>
          <w:szCs w:val="22"/>
        </w:rPr>
        <w:t>.</w:t>
      </w:r>
    </w:p>
    <w:p w14:paraId="4616521E" w14:textId="23BADCD6" w:rsidR="004D04EF" w:rsidRPr="00FA4DA6" w:rsidRDefault="004D04EF" w:rsidP="00C554FF">
      <w:pPr>
        <w:pStyle w:val="NormalWeb"/>
        <w:pBdr>
          <w:bottom w:val="single" w:sz="6" w:space="0" w:color="auto"/>
        </w:pBdr>
        <w:jc w:val="both"/>
        <w:rPr>
          <w:rFonts w:ascii="Aptos" w:hAnsi="Aptos" w:cstheme="majorHAnsi"/>
          <w:sz w:val="22"/>
          <w:szCs w:val="22"/>
        </w:rPr>
      </w:pPr>
      <w:bookmarkStart w:id="6" w:name="_Hlk166694270"/>
      <w:r w:rsidRPr="00FA4DA6">
        <w:rPr>
          <w:rFonts w:ascii="Aptos" w:hAnsi="Aptos" w:cstheme="majorHAnsi"/>
          <w:sz w:val="22"/>
          <w:szCs w:val="22"/>
        </w:rPr>
        <w:t>The Company will not receive any proceeds from the Sale.</w:t>
      </w:r>
    </w:p>
    <w:p w14:paraId="5C281AF4" w14:textId="77777777" w:rsidR="00C554FF" w:rsidRPr="00FA4DA6" w:rsidRDefault="00C554FF" w:rsidP="00C554FF">
      <w:pPr>
        <w:pStyle w:val="NormalWeb"/>
        <w:pBdr>
          <w:bottom w:val="single" w:sz="6" w:space="0" w:color="auto"/>
        </w:pBdr>
        <w:jc w:val="both"/>
        <w:rPr>
          <w:rFonts w:ascii="Aptos" w:hAnsi="Aptos" w:cstheme="majorHAnsi"/>
          <w:sz w:val="22"/>
          <w:szCs w:val="22"/>
        </w:rPr>
      </w:pPr>
    </w:p>
    <w:p w14:paraId="33DFB5FB" w14:textId="7E699BEE" w:rsidR="00745E72" w:rsidRPr="00FA4DA6" w:rsidRDefault="00745E72" w:rsidP="00773B22">
      <w:pPr>
        <w:pStyle w:val="PBBody"/>
        <w:rPr>
          <w:rFonts w:ascii="Aptos" w:hAnsi="Aptos" w:cstheme="majorHAnsi"/>
          <w:b/>
          <w:bCs/>
          <w:sz w:val="22"/>
          <w:szCs w:val="22"/>
        </w:rPr>
      </w:pPr>
      <w:bookmarkStart w:id="7" w:name="OLE_LINK10"/>
      <w:bookmarkStart w:id="8" w:name="OLE_LINK20"/>
      <w:bookmarkEnd w:id="6"/>
      <w:r w:rsidRPr="00FA4DA6">
        <w:rPr>
          <w:rFonts w:ascii="Aptos" w:hAnsi="Aptos" w:cstheme="majorHAnsi"/>
          <w:b/>
          <w:bCs/>
          <w:sz w:val="22"/>
          <w:szCs w:val="22"/>
        </w:rPr>
        <w:t>Important notice</w:t>
      </w:r>
    </w:p>
    <w:p w14:paraId="1A2C45CF" w14:textId="70A1F0AF" w:rsidR="00773B22" w:rsidRPr="00FA4DA6" w:rsidRDefault="00E574AB" w:rsidP="00E574AB">
      <w:pPr>
        <w:pStyle w:val="PBBody"/>
        <w:rPr>
          <w:rFonts w:ascii="Aptos" w:hAnsi="Aptos" w:cstheme="majorHAnsi"/>
          <w:sz w:val="22"/>
          <w:szCs w:val="22"/>
        </w:rPr>
      </w:pPr>
      <w:r w:rsidRPr="00FA4DA6">
        <w:rPr>
          <w:rFonts w:ascii="Aptos" w:hAnsi="Aptos" w:cstheme="majorHAnsi"/>
          <w:sz w:val="22"/>
          <w:szCs w:val="22"/>
        </w:rPr>
        <w:lastRenderedPageBreak/>
        <w:t xml:space="preserve">The distribution of this announcement and the offer and sale of the Shares in certain jurisdictions may be restricted by law </w:t>
      </w:r>
      <w:r w:rsidRPr="00FA4DA6">
        <w:rPr>
          <w:rStyle w:val="w"/>
          <w:rFonts w:ascii="Aptos" w:hAnsi="Aptos" w:cstheme="majorHAnsi"/>
          <w:sz w:val="22"/>
          <w:szCs w:val="22"/>
        </w:rPr>
        <w:t xml:space="preserve">and </w:t>
      </w:r>
      <w:proofErr w:type="gramStart"/>
      <w:r w:rsidRPr="00FA4DA6">
        <w:rPr>
          <w:rStyle w:val="w"/>
          <w:rFonts w:ascii="Aptos" w:hAnsi="Aptos" w:cstheme="majorHAnsi"/>
          <w:sz w:val="22"/>
          <w:szCs w:val="22"/>
        </w:rPr>
        <w:t>persons</w:t>
      </w:r>
      <w:proofErr w:type="gramEnd"/>
      <w:r w:rsidRPr="00FA4DA6">
        <w:rPr>
          <w:rStyle w:val="w"/>
          <w:rFonts w:ascii="Aptos" w:hAnsi="Aptos" w:cstheme="majorHAnsi"/>
          <w:sz w:val="22"/>
          <w:szCs w:val="22"/>
        </w:rPr>
        <w:t xml:space="preserve"> into whose possession this document or other information referred to </w:t>
      </w:r>
      <w:proofErr w:type="gramStart"/>
      <w:r w:rsidRPr="00FA4DA6">
        <w:rPr>
          <w:rStyle w:val="w"/>
          <w:rFonts w:ascii="Aptos" w:hAnsi="Aptos" w:cstheme="majorHAnsi"/>
          <w:sz w:val="22"/>
          <w:szCs w:val="22"/>
        </w:rPr>
        <w:t>herein comes</w:t>
      </w:r>
      <w:proofErr w:type="gramEnd"/>
      <w:r w:rsidRPr="00FA4DA6">
        <w:rPr>
          <w:rStyle w:val="w"/>
          <w:rFonts w:ascii="Aptos" w:hAnsi="Aptos" w:cstheme="majorHAnsi"/>
          <w:sz w:val="22"/>
          <w:szCs w:val="22"/>
        </w:rPr>
        <w:t xml:space="preserve"> should inform themselves about and observe any such restriction. Any failure to comply with these restrictions may constitute a violation of the securities laws of any such jurisdiction.</w:t>
      </w:r>
    </w:p>
    <w:p w14:paraId="2F7EC435" w14:textId="3F2685C1" w:rsidR="00773B22" w:rsidRPr="00FA4DA6" w:rsidRDefault="00773B22" w:rsidP="00773B22">
      <w:pPr>
        <w:pStyle w:val="PBBody"/>
        <w:rPr>
          <w:rFonts w:ascii="Aptos" w:hAnsi="Aptos" w:cstheme="majorHAnsi"/>
          <w:sz w:val="22"/>
          <w:szCs w:val="22"/>
        </w:rPr>
      </w:pPr>
      <w:r w:rsidRPr="00FA4DA6">
        <w:rPr>
          <w:rFonts w:ascii="Aptos" w:hAnsi="Aptos" w:cstheme="majorHAnsi"/>
          <w:sz w:val="22"/>
          <w:szCs w:val="22"/>
        </w:rPr>
        <w:t xml:space="preserve">The Shares are not </w:t>
      </w:r>
      <w:proofErr w:type="gramStart"/>
      <w:r w:rsidRPr="00FA4DA6">
        <w:rPr>
          <w:rFonts w:ascii="Aptos" w:hAnsi="Aptos" w:cstheme="majorHAnsi"/>
          <w:sz w:val="22"/>
          <w:szCs w:val="22"/>
        </w:rPr>
        <w:t>being offered</w:t>
      </w:r>
      <w:proofErr w:type="gramEnd"/>
      <w:r w:rsidRPr="00FA4DA6">
        <w:rPr>
          <w:rFonts w:ascii="Aptos" w:hAnsi="Aptos" w:cstheme="majorHAnsi"/>
          <w:sz w:val="22"/>
          <w:szCs w:val="22"/>
        </w:rPr>
        <w:t xml:space="preserve"> to the public in any jurisdiction and may not be offered to the public in any jurisdiction in circumstances which would require the preparation or registration of any prospectus or offering document relating to the shares in such jurisdiction. This announcement is not a prospectus and does not constitute or form part of any offer or solicitation to purchase or subscribe for securities </w:t>
      </w:r>
      <w:r w:rsidR="006F67E1" w:rsidRPr="00FA4DA6">
        <w:rPr>
          <w:rFonts w:ascii="Aptos" w:hAnsi="Aptos" w:cstheme="majorHAnsi"/>
          <w:sz w:val="22"/>
          <w:szCs w:val="22"/>
        </w:rPr>
        <w:t xml:space="preserve">in </w:t>
      </w:r>
      <w:r w:rsidRPr="00FA4DA6">
        <w:rPr>
          <w:rStyle w:val="w"/>
          <w:rFonts w:ascii="Aptos" w:hAnsi="Aptos" w:cstheme="majorHAnsi"/>
          <w:sz w:val="22"/>
          <w:szCs w:val="22"/>
        </w:rPr>
        <w:t xml:space="preserve">any </w:t>
      </w:r>
      <w:proofErr w:type="gramStart"/>
      <w:r w:rsidRPr="00FA4DA6">
        <w:rPr>
          <w:rStyle w:val="w"/>
          <w:rFonts w:ascii="Aptos" w:hAnsi="Aptos" w:cstheme="majorHAnsi"/>
          <w:sz w:val="22"/>
          <w:szCs w:val="22"/>
        </w:rPr>
        <w:t>jurisdiction</w:t>
      </w:r>
      <w:r w:rsidR="006F67E1" w:rsidRPr="00FA4DA6">
        <w:rPr>
          <w:rStyle w:val="w"/>
          <w:rFonts w:ascii="Aptos" w:hAnsi="Aptos" w:cstheme="majorHAnsi"/>
          <w:sz w:val="22"/>
          <w:szCs w:val="22"/>
        </w:rPr>
        <w:t>s</w:t>
      </w:r>
      <w:proofErr w:type="gramEnd"/>
      <w:r w:rsidRPr="00FA4DA6">
        <w:rPr>
          <w:rStyle w:val="w"/>
          <w:rFonts w:ascii="Aptos" w:hAnsi="Aptos" w:cstheme="majorHAnsi"/>
          <w:sz w:val="22"/>
          <w:szCs w:val="22"/>
        </w:rPr>
        <w:t xml:space="preserve"> in which such offers or sales are unlawful</w:t>
      </w:r>
      <w:r w:rsidRPr="00FA4DA6">
        <w:rPr>
          <w:rFonts w:ascii="Aptos" w:hAnsi="Aptos" w:cstheme="majorHAnsi"/>
          <w:sz w:val="22"/>
          <w:szCs w:val="22"/>
        </w:rPr>
        <w:t xml:space="preserve">. No action has been taken by the Seller </w:t>
      </w:r>
      <w:r w:rsidR="00CF6D1D" w:rsidRPr="00FA4DA6">
        <w:rPr>
          <w:rFonts w:ascii="Aptos" w:hAnsi="Aptos" w:cstheme="majorHAnsi"/>
          <w:sz w:val="22"/>
          <w:szCs w:val="22"/>
        </w:rPr>
        <w:t xml:space="preserve">or any of its affiliates </w:t>
      </w:r>
      <w:r w:rsidR="00144827" w:rsidRPr="00FA4DA6">
        <w:rPr>
          <w:rFonts w:ascii="Aptos" w:hAnsi="Aptos" w:cstheme="majorHAnsi"/>
          <w:sz w:val="22"/>
          <w:szCs w:val="22"/>
        </w:rPr>
        <w:t xml:space="preserve">and Euroxx Securities </w:t>
      </w:r>
      <w:r w:rsidR="000B6D26" w:rsidRPr="00FA4DA6">
        <w:rPr>
          <w:rFonts w:ascii="Aptos" w:hAnsi="Aptos" w:cstheme="majorHAnsi"/>
          <w:sz w:val="22"/>
          <w:szCs w:val="22"/>
        </w:rPr>
        <w:t xml:space="preserve">SA </w:t>
      </w:r>
      <w:r w:rsidRPr="00FA4DA6">
        <w:rPr>
          <w:rFonts w:ascii="Aptos" w:hAnsi="Aptos" w:cstheme="majorHAnsi"/>
          <w:sz w:val="22"/>
          <w:szCs w:val="22"/>
        </w:rPr>
        <w:t xml:space="preserve">to permit a public offering of the shares or possession or distribution of this announcement in any jurisdiction where action for that purpose is required. </w:t>
      </w:r>
      <w:proofErr w:type="gramStart"/>
      <w:r w:rsidRPr="00FA4DA6">
        <w:rPr>
          <w:rFonts w:ascii="Aptos" w:hAnsi="Aptos" w:cstheme="majorHAnsi"/>
          <w:sz w:val="22"/>
          <w:szCs w:val="22"/>
        </w:rPr>
        <w:t>Persons</w:t>
      </w:r>
      <w:proofErr w:type="gramEnd"/>
      <w:r w:rsidRPr="00FA4DA6">
        <w:rPr>
          <w:rFonts w:ascii="Aptos" w:hAnsi="Aptos" w:cstheme="majorHAnsi"/>
          <w:sz w:val="22"/>
          <w:szCs w:val="22"/>
        </w:rPr>
        <w:t xml:space="preserve"> </w:t>
      </w:r>
      <w:r w:rsidR="00CF6D1D" w:rsidRPr="00FA4DA6">
        <w:rPr>
          <w:rFonts w:ascii="Aptos" w:hAnsi="Aptos" w:cstheme="majorHAnsi"/>
          <w:sz w:val="22"/>
          <w:szCs w:val="22"/>
        </w:rPr>
        <w:t>in</w:t>
      </w:r>
      <w:r w:rsidRPr="00FA4DA6">
        <w:rPr>
          <w:rFonts w:ascii="Aptos" w:hAnsi="Aptos" w:cstheme="majorHAnsi"/>
          <w:sz w:val="22"/>
          <w:szCs w:val="22"/>
        </w:rPr>
        <w:t xml:space="preserve"> whose possession this announcement comes are required to inform themselves </w:t>
      </w:r>
      <w:r w:rsidR="009468D7" w:rsidRPr="00FA4DA6">
        <w:rPr>
          <w:rFonts w:ascii="Aptos" w:hAnsi="Aptos" w:cstheme="majorHAnsi"/>
          <w:sz w:val="22"/>
          <w:szCs w:val="22"/>
        </w:rPr>
        <w:t>a</w:t>
      </w:r>
      <w:r w:rsidRPr="00FA4DA6">
        <w:rPr>
          <w:rFonts w:ascii="Aptos" w:hAnsi="Aptos" w:cstheme="majorHAnsi"/>
          <w:sz w:val="22"/>
          <w:szCs w:val="22"/>
        </w:rPr>
        <w:t xml:space="preserve">bout and to observe any such restrictions. </w:t>
      </w:r>
    </w:p>
    <w:p w14:paraId="59F9B429" w14:textId="77777777" w:rsidR="008825F0" w:rsidRPr="00FA4DA6" w:rsidRDefault="008825F0" w:rsidP="00773B22">
      <w:pPr>
        <w:jc w:val="both"/>
        <w:rPr>
          <w:rFonts w:ascii="Aptos" w:hAnsi="Aptos" w:cstheme="majorHAnsi"/>
        </w:rPr>
      </w:pPr>
    </w:p>
    <w:p w14:paraId="360A752E" w14:textId="77777777" w:rsidR="00773B22" w:rsidRPr="00FA4DA6" w:rsidRDefault="00773B22" w:rsidP="00773B22">
      <w:pPr>
        <w:jc w:val="both"/>
        <w:rPr>
          <w:rStyle w:val="w"/>
          <w:rFonts w:ascii="Aptos" w:hAnsi="Aptos" w:cstheme="majorHAnsi"/>
        </w:rPr>
      </w:pPr>
    </w:p>
    <w:p w14:paraId="4D44A1FE" w14:textId="07464A89" w:rsidR="00773B22" w:rsidRPr="00FA4DA6" w:rsidRDefault="00773B22" w:rsidP="00773B22">
      <w:pPr>
        <w:jc w:val="both"/>
        <w:rPr>
          <w:rStyle w:val="w"/>
          <w:rFonts w:ascii="Aptos" w:hAnsi="Aptos" w:cstheme="majorHAnsi"/>
        </w:rPr>
      </w:pPr>
      <w:r w:rsidRPr="00FA4DA6">
        <w:rPr>
          <w:rStyle w:val="w"/>
          <w:rFonts w:ascii="Aptos" w:hAnsi="Aptos" w:cstheme="majorHAnsi"/>
        </w:rPr>
        <w:t>In member states of the European Economic Area (the “</w:t>
      </w:r>
      <w:r w:rsidRPr="00FA4DA6">
        <w:rPr>
          <w:rStyle w:val="w"/>
          <w:rFonts w:ascii="Aptos" w:hAnsi="Aptos" w:cstheme="majorHAnsi"/>
          <w:b/>
          <w:bCs/>
        </w:rPr>
        <w:t>EEA</w:t>
      </w:r>
      <w:r w:rsidRPr="00FA4DA6">
        <w:rPr>
          <w:rStyle w:val="w"/>
          <w:rFonts w:ascii="Aptos" w:hAnsi="Aptos" w:cstheme="majorHAnsi"/>
        </w:rPr>
        <w:t>”), this announcement and any offer if made subsequently is directed exclusively</w:t>
      </w:r>
      <w:r w:rsidR="00F54BCE" w:rsidRPr="00FA4DA6">
        <w:rPr>
          <w:rStyle w:val="w"/>
          <w:rFonts w:ascii="Aptos" w:hAnsi="Aptos" w:cstheme="majorHAnsi"/>
        </w:rPr>
        <w:t>,</w:t>
      </w:r>
      <w:r w:rsidRPr="00FA4DA6">
        <w:rPr>
          <w:rStyle w:val="w"/>
          <w:rFonts w:ascii="Aptos" w:hAnsi="Aptos" w:cstheme="majorHAnsi"/>
        </w:rPr>
        <w:t xml:space="preserve"> </w:t>
      </w:r>
      <w:r w:rsidR="00F54BCE" w:rsidRPr="00FA4DA6">
        <w:rPr>
          <w:rStyle w:val="w"/>
          <w:rFonts w:ascii="Aptos" w:hAnsi="Aptos" w:cstheme="majorHAnsi"/>
        </w:rPr>
        <w:t xml:space="preserve">(i) </w:t>
      </w:r>
      <w:r w:rsidRPr="00FA4DA6">
        <w:rPr>
          <w:rStyle w:val="w"/>
          <w:rFonts w:ascii="Aptos" w:hAnsi="Aptos" w:cstheme="majorHAnsi"/>
        </w:rPr>
        <w:t>t</w:t>
      </w:r>
      <w:r w:rsidR="00F54BCE" w:rsidRPr="00FA4DA6">
        <w:rPr>
          <w:rStyle w:val="w"/>
          <w:rFonts w:ascii="Aptos" w:hAnsi="Aptos" w:cstheme="majorHAnsi"/>
        </w:rPr>
        <w:t>o</w:t>
      </w:r>
      <w:r w:rsidRPr="00FA4DA6">
        <w:rPr>
          <w:rStyle w:val="w"/>
          <w:rFonts w:ascii="Aptos" w:hAnsi="Aptos" w:cstheme="majorHAnsi"/>
        </w:rPr>
        <w:t xml:space="preserve"> persons who are “qualified investors” within the meaning </w:t>
      </w:r>
      <w:r w:rsidR="00C25033" w:rsidRPr="00FA4DA6">
        <w:rPr>
          <w:rStyle w:val="w"/>
          <w:rFonts w:ascii="Aptos" w:hAnsi="Aptos" w:cstheme="majorHAnsi"/>
        </w:rPr>
        <w:t xml:space="preserve">of article 2(e) </w:t>
      </w:r>
      <w:r w:rsidRPr="00FA4DA6">
        <w:rPr>
          <w:rStyle w:val="w"/>
          <w:rFonts w:ascii="Aptos" w:hAnsi="Aptos" w:cstheme="majorHAnsi"/>
        </w:rPr>
        <w:t>of the Prospectus Regulation (Regulation (EU) 2017/1129) (“</w:t>
      </w:r>
      <w:r w:rsidRPr="00FA4DA6">
        <w:rPr>
          <w:rStyle w:val="w"/>
          <w:rFonts w:ascii="Aptos" w:hAnsi="Aptos" w:cstheme="majorHAnsi"/>
          <w:b/>
        </w:rPr>
        <w:t>Qualified Investors</w:t>
      </w:r>
      <w:r w:rsidRPr="00FA4DA6">
        <w:rPr>
          <w:rStyle w:val="w"/>
          <w:rFonts w:ascii="Aptos" w:hAnsi="Aptos" w:cstheme="majorHAnsi"/>
        </w:rPr>
        <w:t>”)</w:t>
      </w:r>
      <w:r w:rsidR="006D06EF" w:rsidRPr="00FA4DA6">
        <w:rPr>
          <w:rStyle w:val="w"/>
          <w:rFonts w:ascii="Aptos" w:hAnsi="Aptos" w:cstheme="majorHAnsi"/>
        </w:rPr>
        <w:t>;</w:t>
      </w:r>
      <w:r w:rsidR="00F54BCE" w:rsidRPr="00FA4DA6">
        <w:rPr>
          <w:rFonts w:ascii="Aptos" w:hAnsi="Aptos"/>
        </w:rPr>
        <w:t xml:space="preserve"> </w:t>
      </w:r>
      <w:r w:rsidR="00F54BCE" w:rsidRPr="00FA4DA6">
        <w:rPr>
          <w:rStyle w:val="w"/>
          <w:rFonts w:ascii="Aptos" w:hAnsi="Aptos" w:cstheme="majorHAnsi"/>
        </w:rPr>
        <w:t>(ii) to fewer than 150 natural or legal persons (other than Qualified Investors)</w:t>
      </w:r>
      <w:r w:rsidR="006D06EF" w:rsidRPr="00FA4DA6">
        <w:rPr>
          <w:rStyle w:val="w"/>
          <w:rFonts w:ascii="Aptos" w:hAnsi="Aptos" w:cstheme="majorHAnsi"/>
        </w:rPr>
        <w:t>;</w:t>
      </w:r>
      <w:r w:rsidR="00C123FB" w:rsidRPr="00FA4DA6">
        <w:rPr>
          <w:rStyle w:val="w"/>
          <w:rFonts w:ascii="Aptos" w:hAnsi="Aptos" w:cstheme="majorHAnsi"/>
        </w:rPr>
        <w:t xml:space="preserve"> or (iii) any other </w:t>
      </w:r>
      <w:r w:rsidR="004E328B" w:rsidRPr="00FA4DA6">
        <w:rPr>
          <w:rStyle w:val="w"/>
          <w:rFonts w:ascii="Aptos" w:hAnsi="Aptos" w:cstheme="majorHAnsi"/>
        </w:rPr>
        <w:t>circumstances falling within article 1(4) of the Prospectus Regulation</w:t>
      </w:r>
      <w:r w:rsidRPr="00FA4DA6">
        <w:rPr>
          <w:rStyle w:val="w"/>
          <w:rFonts w:ascii="Aptos" w:hAnsi="Aptos" w:cstheme="majorHAnsi"/>
        </w:rPr>
        <w:t xml:space="preserve">. </w:t>
      </w:r>
    </w:p>
    <w:p w14:paraId="65CDE2C1" w14:textId="77777777" w:rsidR="00B96C66" w:rsidRPr="00FA4DA6" w:rsidRDefault="00B96C66" w:rsidP="00773B22">
      <w:pPr>
        <w:jc w:val="both"/>
        <w:rPr>
          <w:rStyle w:val="w"/>
          <w:rFonts w:ascii="Aptos" w:hAnsi="Aptos" w:cstheme="majorHAnsi"/>
        </w:rPr>
      </w:pPr>
    </w:p>
    <w:p w14:paraId="29363463" w14:textId="77777777" w:rsidR="00C25033" w:rsidRPr="00FA4DA6" w:rsidRDefault="00C25033" w:rsidP="00773B22">
      <w:pPr>
        <w:jc w:val="both"/>
        <w:rPr>
          <w:rStyle w:val="w"/>
          <w:rFonts w:ascii="Aptos" w:hAnsi="Aptos" w:cstheme="majorHAnsi"/>
        </w:rPr>
      </w:pPr>
    </w:p>
    <w:p w14:paraId="553E33D6" w14:textId="157E7105" w:rsidR="00C25033" w:rsidRPr="00FA4DA6" w:rsidRDefault="00C25033" w:rsidP="00773B22">
      <w:pPr>
        <w:jc w:val="both"/>
        <w:rPr>
          <w:rStyle w:val="w"/>
          <w:rFonts w:ascii="Aptos" w:hAnsi="Aptos" w:cstheme="majorHAnsi"/>
        </w:rPr>
      </w:pPr>
      <w:r w:rsidRPr="00FA4DA6">
        <w:rPr>
          <w:rFonts w:ascii="Aptos" w:hAnsi="Aptos" w:cstheme="majorHAnsi"/>
        </w:rPr>
        <w:t>This document includes statements that are, or may be deemed to be, forward-looking statements. These forward-looking statements may be identified by the use of forward-looking terminology, including the terms "intends", "expects", "will", or "may", or, in each case, their negative or other variations or comparable terminology, or by discussions of strategy, plans, objectives, goals, future events or intentions. These forward-looking statements include all matters that are not historical facts.</w:t>
      </w:r>
      <w:r w:rsidR="00CB42B4" w:rsidRPr="00FA4DA6">
        <w:rPr>
          <w:rFonts w:ascii="Aptos" w:hAnsi="Aptos"/>
        </w:rPr>
        <w:t xml:space="preserve"> </w:t>
      </w:r>
      <w:r w:rsidR="00CB42B4" w:rsidRPr="00FA4DA6">
        <w:rPr>
          <w:rFonts w:ascii="Aptos" w:hAnsi="Aptos" w:cstheme="majorHAnsi"/>
        </w:rPr>
        <w:t>Any forward-looking statements are subject to risks relating to future events and assumptions relating to the Seller’s</w:t>
      </w:r>
      <w:r w:rsidR="00B71094" w:rsidRPr="00FA4DA6">
        <w:rPr>
          <w:rFonts w:ascii="Aptos" w:hAnsi="Aptos" w:cstheme="majorHAnsi"/>
        </w:rPr>
        <w:t xml:space="preserve"> or the Company’s</w:t>
      </w:r>
      <w:r w:rsidR="00CB42B4" w:rsidRPr="00FA4DA6">
        <w:rPr>
          <w:rFonts w:ascii="Aptos" w:hAnsi="Aptos" w:cstheme="majorHAnsi"/>
        </w:rPr>
        <w:t xml:space="preserve"> business, </w:t>
      </w:r>
      <w:proofErr w:type="gramStart"/>
      <w:r w:rsidR="00CB42B4" w:rsidRPr="00FA4DA6">
        <w:rPr>
          <w:rFonts w:ascii="Aptos" w:hAnsi="Aptos" w:cstheme="majorHAnsi"/>
        </w:rPr>
        <w:t>in particular from</w:t>
      </w:r>
      <w:proofErr w:type="gramEnd"/>
      <w:r w:rsidR="00CB42B4" w:rsidRPr="00FA4DA6">
        <w:rPr>
          <w:rFonts w:ascii="Aptos" w:hAnsi="Aptos" w:cstheme="majorHAnsi"/>
        </w:rPr>
        <w:t xml:space="preserve"> changes in political conditions, economic conditions, evolving business strategy, or the retail industry.</w:t>
      </w:r>
      <w:r w:rsidRPr="00FA4DA6">
        <w:rPr>
          <w:rFonts w:ascii="Aptos" w:hAnsi="Aptos" w:cstheme="majorHAnsi"/>
        </w:rPr>
        <w:t xml:space="preserve"> No </w:t>
      </w:r>
      <w:proofErr w:type="gramStart"/>
      <w:r w:rsidRPr="00FA4DA6">
        <w:rPr>
          <w:rFonts w:ascii="Aptos" w:hAnsi="Aptos" w:cstheme="majorHAnsi"/>
        </w:rPr>
        <w:t>assurances</w:t>
      </w:r>
      <w:proofErr w:type="gramEnd"/>
      <w:r w:rsidRPr="00FA4DA6">
        <w:rPr>
          <w:rFonts w:ascii="Aptos" w:hAnsi="Aptos" w:cstheme="majorHAnsi"/>
        </w:rPr>
        <w:t xml:space="preserve"> can be given that the forward-looking statements in this document will be realised. As a result, no undue reliance should be placed on these forward-looking statements as a prediction of actual results or otherwise.</w:t>
      </w:r>
    </w:p>
    <w:p w14:paraId="039ACC37" w14:textId="77777777" w:rsidR="00773B22" w:rsidRPr="00FA4DA6" w:rsidRDefault="00773B22" w:rsidP="00773B22">
      <w:pPr>
        <w:jc w:val="both"/>
        <w:rPr>
          <w:rStyle w:val="w"/>
          <w:rFonts w:ascii="Aptos" w:hAnsi="Aptos" w:cstheme="majorHAnsi"/>
        </w:rPr>
      </w:pPr>
    </w:p>
    <w:p w14:paraId="64990AFB" w14:textId="3500FB2C" w:rsidR="00773B22" w:rsidRPr="00FA4DA6" w:rsidRDefault="00773B22" w:rsidP="00773B22">
      <w:pPr>
        <w:jc w:val="both"/>
        <w:rPr>
          <w:rFonts w:ascii="Aptos" w:hAnsi="Aptos" w:cstheme="majorHAnsi"/>
        </w:rPr>
      </w:pPr>
      <w:r w:rsidRPr="00FA4DA6">
        <w:rPr>
          <w:rFonts w:ascii="Aptos" w:hAnsi="Aptos" w:cstheme="majorHAnsi"/>
        </w:rPr>
        <w:t xml:space="preserve">In connection with the sale of the Shares, </w:t>
      </w:r>
      <w:r w:rsidR="006F67E1" w:rsidRPr="00FA4DA6">
        <w:rPr>
          <w:rFonts w:ascii="Aptos" w:hAnsi="Aptos" w:cstheme="majorHAnsi"/>
        </w:rPr>
        <w:t>the Manager</w:t>
      </w:r>
      <w:r w:rsidRPr="00FA4DA6">
        <w:rPr>
          <w:rFonts w:ascii="Aptos" w:hAnsi="Aptos" w:cstheme="majorHAnsi"/>
        </w:rPr>
        <w:t xml:space="preserve"> may take up a portion of the Shares in the Sale as a principal position and in that capacity may retain, purchase, sell, offer to sell for </w:t>
      </w:r>
      <w:r w:rsidR="006F67E1" w:rsidRPr="00FA4DA6">
        <w:rPr>
          <w:rFonts w:ascii="Aptos" w:hAnsi="Aptos" w:cstheme="majorHAnsi"/>
        </w:rPr>
        <w:t>its</w:t>
      </w:r>
      <w:r w:rsidRPr="00FA4DA6">
        <w:rPr>
          <w:rFonts w:ascii="Aptos" w:hAnsi="Aptos" w:cstheme="majorHAnsi"/>
        </w:rPr>
        <w:t xml:space="preserve"> own account such Shares and other securities of the Company or related investments in connection with the Sale or otherwise. Accordingly, references in this announcement to the Shares being sold, offered, subscribed, acquired, placed or otherwise dealt in should be read as including any issue or offer to, or subscription, acquisition, placing or dealing by</w:t>
      </w:r>
      <w:r w:rsidR="006F67E1" w:rsidRPr="00FA4DA6">
        <w:rPr>
          <w:rFonts w:ascii="Aptos" w:hAnsi="Aptos" w:cstheme="majorHAnsi"/>
        </w:rPr>
        <w:t xml:space="preserve"> the Manager</w:t>
      </w:r>
      <w:r w:rsidRPr="00FA4DA6">
        <w:rPr>
          <w:rFonts w:ascii="Aptos" w:hAnsi="Aptos" w:cstheme="majorHAnsi"/>
        </w:rPr>
        <w:t>. In addition</w:t>
      </w:r>
      <w:r w:rsidR="004D13CE" w:rsidRPr="00FA4DA6">
        <w:rPr>
          <w:rFonts w:ascii="Aptos" w:hAnsi="Aptos" w:cstheme="majorHAnsi"/>
        </w:rPr>
        <w:t>,</w:t>
      </w:r>
      <w:r w:rsidRPr="00FA4DA6">
        <w:rPr>
          <w:rFonts w:ascii="Aptos" w:hAnsi="Aptos" w:cstheme="majorHAnsi"/>
        </w:rPr>
        <w:t xml:space="preserve"> </w:t>
      </w:r>
      <w:r w:rsidR="006F67E1" w:rsidRPr="00FA4DA6">
        <w:rPr>
          <w:rFonts w:ascii="Aptos" w:hAnsi="Aptos" w:cstheme="majorHAnsi"/>
        </w:rPr>
        <w:t>the Manager</w:t>
      </w:r>
      <w:r w:rsidRPr="00FA4DA6">
        <w:rPr>
          <w:rFonts w:ascii="Aptos" w:hAnsi="Aptos" w:cstheme="majorHAnsi"/>
        </w:rPr>
        <w:t xml:space="preserve"> may </w:t>
      </w:r>
      <w:proofErr w:type="gramStart"/>
      <w:r w:rsidRPr="00FA4DA6">
        <w:rPr>
          <w:rFonts w:ascii="Aptos" w:hAnsi="Aptos" w:cstheme="majorHAnsi"/>
        </w:rPr>
        <w:t>enter into</w:t>
      </w:r>
      <w:proofErr w:type="gramEnd"/>
      <w:r w:rsidRPr="00FA4DA6">
        <w:rPr>
          <w:rFonts w:ascii="Aptos" w:hAnsi="Aptos" w:cstheme="majorHAnsi"/>
        </w:rPr>
        <w:t xml:space="preserve"> financing arrangements (including swaps or contracts for differences) with investors in connection with which the </w:t>
      </w:r>
      <w:r w:rsidR="006F67E1" w:rsidRPr="00FA4DA6">
        <w:rPr>
          <w:rFonts w:ascii="Aptos" w:hAnsi="Aptos" w:cstheme="majorHAnsi"/>
        </w:rPr>
        <w:t>Manager</w:t>
      </w:r>
      <w:r w:rsidR="001C466A" w:rsidRPr="00FA4DA6">
        <w:rPr>
          <w:rFonts w:ascii="Aptos" w:hAnsi="Aptos" w:cstheme="majorHAnsi"/>
        </w:rPr>
        <w:t xml:space="preserve"> </w:t>
      </w:r>
      <w:r w:rsidRPr="00FA4DA6">
        <w:rPr>
          <w:rFonts w:ascii="Aptos" w:hAnsi="Aptos" w:cstheme="majorHAnsi"/>
        </w:rPr>
        <w:t xml:space="preserve">may from time to time acquire, hold or dispose of Shares. The </w:t>
      </w:r>
      <w:r w:rsidR="006F67E1" w:rsidRPr="00FA4DA6">
        <w:rPr>
          <w:rFonts w:ascii="Aptos" w:hAnsi="Aptos" w:cstheme="majorHAnsi"/>
        </w:rPr>
        <w:t>Manager</w:t>
      </w:r>
      <w:r w:rsidRPr="00FA4DA6">
        <w:rPr>
          <w:rFonts w:ascii="Aptos" w:hAnsi="Aptos" w:cstheme="majorHAnsi"/>
        </w:rPr>
        <w:t xml:space="preserve"> do</w:t>
      </w:r>
      <w:r w:rsidR="006F67E1" w:rsidRPr="00FA4DA6">
        <w:rPr>
          <w:rFonts w:ascii="Aptos" w:hAnsi="Aptos" w:cstheme="majorHAnsi"/>
        </w:rPr>
        <w:t>es</w:t>
      </w:r>
      <w:r w:rsidRPr="00FA4DA6">
        <w:rPr>
          <w:rFonts w:ascii="Aptos" w:hAnsi="Aptos" w:cstheme="majorHAnsi"/>
        </w:rPr>
        <w:t xml:space="preserve"> not intend to disclose the extent of any such investment or transactions otherwise than in accordance with any legal or regulatory obligations to do so.</w:t>
      </w:r>
    </w:p>
    <w:p w14:paraId="5E473771" w14:textId="77777777" w:rsidR="00773B22" w:rsidRPr="00FA4DA6" w:rsidRDefault="00773B22" w:rsidP="00773B22">
      <w:pPr>
        <w:jc w:val="both"/>
        <w:rPr>
          <w:rFonts w:ascii="Aptos" w:hAnsi="Aptos" w:cstheme="majorHAnsi"/>
        </w:rPr>
      </w:pPr>
    </w:p>
    <w:p w14:paraId="6D26D858" w14:textId="31D8D9FB" w:rsidR="00773B22" w:rsidRPr="00FA4DA6" w:rsidRDefault="00773B22" w:rsidP="00773B22">
      <w:pPr>
        <w:pStyle w:val="Bullet"/>
        <w:spacing w:before="40" w:after="40"/>
        <w:ind w:left="0" w:firstLine="0"/>
        <w:jc w:val="both"/>
        <w:rPr>
          <w:rFonts w:ascii="Aptos" w:hAnsi="Aptos" w:cstheme="majorHAnsi"/>
          <w:sz w:val="22"/>
          <w:szCs w:val="22"/>
          <w:lang w:eastAsia="en-US"/>
        </w:rPr>
      </w:pPr>
      <w:r w:rsidRPr="00FA4DA6">
        <w:rPr>
          <w:rFonts w:ascii="Aptos" w:hAnsi="Aptos" w:cstheme="majorHAnsi"/>
          <w:sz w:val="22"/>
          <w:szCs w:val="22"/>
          <w:lang w:eastAsia="en-US"/>
        </w:rPr>
        <w:t xml:space="preserve">Any communications that a transaction is or that the book is “covered” (i.e. indicated demand from investors in the book equals or exceeds the amount of the securities being offered) are not any indications or assurances that the book will remain covered or that the transaction and securities will </w:t>
      </w:r>
      <w:r w:rsidRPr="00FA4DA6">
        <w:rPr>
          <w:rFonts w:ascii="Aptos" w:hAnsi="Aptos" w:cstheme="majorHAnsi"/>
          <w:sz w:val="22"/>
          <w:szCs w:val="22"/>
          <w:lang w:eastAsia="en-US"/>
        </w:rPr>
        <w:lastRenderedPageBreak/>
        <w:t xml:space="preserve">be fully distributed by the </w:t>
      </w:r>
      <w:r w:rsidR="006F67E1" w:rsidRPr="00FA4DA6">
        <w:rPr>
          <w:rFonts w:ascii="Aptos" w:hAnsi="Aptos" w:cstheme="majorHAnsi"/>
          <w:sz w:val="22"/>
          <w:szCs w:val="22"/>
          <w:lang w:eastAsia="en-US"/>
        </w:rPr>
        <w:t>Manager</w:t>
      </w:r>
      <w:r w:rsidRPr="00FA4DA6">
        <w:rPr>
          <w:rFonts w:ascii="Aptos" w:hAnsi="Aptos" w:cstheme="majorHAnsi"/>
          <w:sz w:val="22"/>
          <w:szCs w:val="22"/>
          <w:lang w:eastAsia="en-US"/>
        </w:rPr>
        <w:t xml:space="preserve">. The </w:t>
      </w:r>
      <w:r w:rsidR="006F67E1" w:rsidRPr="00FA4DA6">
        <w:rPr>
          <w:rFonts w:ascii="Aptos" w:hAnsi="Aptos" w:cstheme="majorHAnsi"/>
          <w:sz w:val="22"/>
          <w:szCs w:val="22"/>
          <w:lang w:eastAsia="en-US"/>
        </w:rPr>
        <w:t>Manager</w:t>
      </w:r>
      <w:r w:rsidRPr="00FA4DA6">
        <w:rPr>
          <w:rFonts w:ascii="Aptos" w:hAnsi="Aptos" w:cstheme="majorHAnsi"/>
          <w:sz w:val="22"/>
          <w:szCs w:val="22"/>
          <w:lang w:eastAsia="en-US"/>
        </w:rPr>
        <w:t xml:space="preserve"> reserve </w:t>
      </w:r>
      <w:r w:rsidR="006F67E1" w:rsidRPr="00FA4DA6">
        <w:rPr>
          <w:rFonts w:ascii="Aptos" w:hAnsi="Aptos" w:cstheme="majorHAnsi"/>
          <w:sz w:val="22"/>
          <w:szCs w:val="22"/>
          <w:lang w:eastAsia="en-US"/>
        </w:rPr>
        <w:t>i</w:t>
      </w:r>
      <w:r w:rsidRPr="00FA4DA6">
        <w:rPr>
          <w:rFonts w:ascii="Aptos" w:hAnsi="Aptos" w:cstheme="majorHAnsi"/>
          <w:sz w:val="22"/>
          <w:szCs w:val="22"/>
          <w:lang w:eastAsia="en-US"/>
        </w:rPr>
        <w:t>t</w:t>
      </w:r>
      <w:r w:rsidR="006F67E1" w:rsidRPr="00FA4DA6">
        <w:rPr>
          <w:rFonts w:ascii="Aptos" w:hAnsi="Aptos" w:cstheme="majorHAnsi"/>
          <w:sz w:val="22"/>
          <w:szCs w:val="22"/>
          <w:lang w:eastAsia="en-US"/>
        </w:rPr>
        <w:t>s</w:t>
      </w:r>
      <w:r w:rsidRPr="00FA4DA6">
        <w:rPr>
          <w:rFonts w:ascii="Aptos" w:hAnsi="Aptos" w:cstheme="majorHAnsi"/>
          <w:sz w:val="22"/>
          <w:szCs w:val="22"/>
          <w:lang w:eastAsia="en-US"/>
        </w:rPr>
        <w:t xml:space="preserve"> right to take up a portion of the securities in the offering as a principal position at any stage at </w:t>
      </w:r>
      <w:r w:rsidR="006F67E1" w:rsidRPr="00FA4DA6">
        <w:rPr>
          <w:rFonts w:ascii="Aptos" w:hAnsi="Aptos" w:cstheme="majorHAnsi"/>
          <w:sz w:val="22"/>
          <w:szCs w:val="22"/>
          <w:lang w:eastAsia="en-US"/>
        </w:rPr>
        <w:t>i</w:t>
      </w:r>
      <w:r w:rsidRPr="00FA4DA6">
        <w:rPr>
          <w:rFonts w:ascii="Aptos" w:hAnsi="Aptos" w:cstheme="majorHAnsi"/>
          <w:sz w:val="22"/>
          <w:szCs w:val="22"/>
          <w:lang w:eastAsia="en-US"/>
        </w:rPr>
        <w:t>t</w:t>
      </w:r>
      <w:r w:rsidR="00CD1E54" w:rsidRPr="00FA4DA6">
        <w:rPr>
          <w:rFonts w:ascii="Aptos" w:hAnsi="Aptos" w:cstheme="majorHAnsi"/>
          <w:sz w:val="22"/>
          <w:szCs w:val="22"/>
          <w:lang w:eastAsia="en-US"/>
        </w:rPr>
        <w:t>s</w:t>
      </w:r>
      <w:r w:rsidRPr="00FA4DA6">
        <w:rPr>
          <w:rFonts w:ascii="Aptos" w:hAnsi="Aptos" w:cstheme="majorHAnsi"/>
          <w:sz w:val="22"/>
          <w:szCs w:val="22"/>
          <w:lang w:eastAsia="en-US"/>
        </w:rPr>
        <w:t xml:space="preserve"> sole discretion, inter alia, to take account of the objectives of the Seller, MiFID II requirements and in accordance with allocation policies.</w:t>
      </w:r>
    </w:p>
    <w:p w14:paraId="06469033" w14:textId="77777777" w:rsidR="00773B22" w:rsidRPr="00FA4DA6" w:rsidRDefault="00773B22" w:rsidP="00773B22">
      <w:pPr>
        <w:jc w:val="both"/>
        <w:rPr>
          <w:rFonts w:ascii="Aptos" w:hAnsi="Aptos" w:cstheme="majorHAnsi"/>
        </w:rPr>
      </w:pPr>
    </w:p>
    <w:p w14:paraId="5C169B1D" w14:textId="7220B446" w:rsidR="00773B22" w:rsidRPr="00FA4DA6" w:rsidRDefault="00867F0F" w:rsidP="00773B22">
      <w:pPr>
        <w:jc w:val="both"/>
        <w:rPr>
          <w:rFonts w:ascii="Aptos" w:hAnsi="Aptos" w:cstheme="majorHAnsi"/>
        </w:rPr>
      </w:pPr>
      <w:r w:rsidRPr="00FA4DA6">
        <w:rPr>
          <w:rFonts w:ascii="Aptos" w:hAnsi="Aptos" w:cstheme="majorHAnsi"/>
        </w:rPr>
        <w:t>Neither</w:t>
      </w:r>
      <w:r w:rsidR="00773B22" w:rsidRPr="00FA4DA6">
        <w:rPr>
          <w:rFonts w:ascii="Aptos" w:hAnsi="Aptos" w:cstheme="majorHAnsi"/>
        </w:rPr>
        <w:t xml:space="preserve"> the </w:t>
      </w:r>
      <w:r w:rsidR="006F67E1" w:rsidRPr="00FA4DA6">
        <w:rPr>
          <w:rFonts w:ascii="Aptos" w:hAnsi="Aptos" w:cstheme="majorHAnsi"/>
        </w:rPr>
        <w:t>Manager</w:t>
      </w:r>
      <w:r w:rsidR="001C466A" w:rsidRPr="00FA4DA6">
        <w:rPr>
          <w:rFonts w:ascii="Aptos" w:hAnsi="Aptos" w:cstheme="majorHAnsi"/>
        </w:rPr>
        <w:t xml:space="preserve"> </w:t>
      </w:r>
      <w:r w:rsidR="00773B22" w:rsidRPr="00FA4DA6">
        <w:rPr>
          <w:rFonts w:ascii="Aptos" w:hAnsi="Aptos" w:cstheme="majorHAnsi"/>
        </w:rPr>
        <w:t xml:space="preserve">or </w:t>
      </w:r>
      <w:r w:rsidR="001C466A" w:rsidRPr="00FA4DA6">
        <w:rPr>
          <w:rFonts w:ascii="Aptos" w:hAnsi="Aptos" w:cstheme="majorHAnsi"/>
        </w:rPr>
        <w:t>i</w:t>
      </w:r>
      <w:r w:rsidR="00773B22" w:rsidRPr="00FA4DA6">
        <w:rPr>
          <w:rFonts w:ascii="Aptos" w:hAnsi="Aptos" w:cstheme="majorHAnsi"/>
        </w:rPr>
        <w:t>t</w:t>
      </w:r>
      <w:r w:rsidR="001C466A" w:rsidRPr="00FA4DA6">
        <w:rPr>
          <w:rFonts w:ascii="Aptos" w:hAnsi="Aptos" w:cstheme="majorHAnsi"/>
        </w:rPr>
        <w:t>s</w:t>
      </w:r>
      <w:r w:rsidR="00773B22" w:rsidRPr="00FA4DA6">
        <w:rPr>
          <w:rFonts w:ascii="Aptos" w:hAnsi="Aptos" w:cstheme="majorHAnsi"/>
        </w:rPr>
        <w:t xml:space="preserve"> directors, officers, employees, advisers or agents</w:t>
      </w:r>
      <w:r w:rsidRPr="00FA4DA6">
        <w:rPr>
          <w:rFonts w:ascii="Aptos" w:hAnsi="Aptos" w:cstheme="majorHAnsi"/>
        </w:rPr>
        <w:t>,</w:t>
      </w:r>
      <w:r w:rsidR="00773B22" w:rsidRPr="00FA4DA6">
        <w:rPr>
          <w:rFonts w:ascii="Aptos" w:hAnsi="Aptos" w:cstheme="majorHAnsi"/>
        </w:rPr>
        <w:t xml:space="preserve"> accepts any responsibility or liability whatsoever for or makes any representation or warranty, express or implied, as to the truth, accuracy or completeness of the information in this announcement (or whether any information has been omitted from the announcement) whether written, oral or in a visual or electronic form, and howsoever transmitted or made available or for any loss howsoever arising from any use of this announcement or its contents or otherwise arising in connection therewith.</w:t>
      </w:r>
      <w:r w:rsidR="00C25033" w:rsidRPr="00FA4DA6">
        <w:rPr>
          <w:rFonts w:ascii="Aptos" w:hAnsi="Aptos" w:cstheme="majorHAnsi"/>
        </w:rPr>
        <w:t xml:space="preserve"> No prospectus or offering document has been or will be prepared in connection with this secondary offering. Any investment decision to buy securities in the secondary offering must be made solely </w:t>
      </w:r>
      <w:proofErr w:type="gramStart"/>
      <w:r w:rsidR="00C25033" w:rsidRPr="00FA4DA6">
        <w:rPr>
          <w:rFonts w:ascii="Aptos" w:hAnsi="Aptos" w:cstheme="majorHAnsi"/>
        </w:rPr>
        <w:t>on the basis of</w:t>
      </w:r>
      <w:proofErr w:type="gramEnd"/>
      <w:r w:rsidR="00C25033" w:rsidRPr="00FA4DA6">
        <w:rPr>
          <w:rFonts w:ascii="Aptos" w:hAnsi="Aptos" w:cstheme="majorHAnsi"/>
        </w:rPr>
        <w:t xml:space="preserve"> publicly available information. Such information is not the responsibility of, and has not been independently verified by the Seller</w:t>
      </w:r>
      <w:r w:rsidR="001C466A" w:rsidRPr="00FA4DA6">
        <w:rPr>
          <w:rFonts w:ascii="Aptos" w:hAnsi="Aptos" w:cstheme="majorHAnsi"/>
        </w:rPr>
        <w:t xml:space="preserve"> or any of its respective affiliates and</w:t>
      </w:r>
      <w:r w:rsidR="00C25033" w:rsidRPr="00FA4DA6">
        <w:rPr>
          <w:rFonts w:ascii="Aptos" w:hAnsi="Aptos" w:cstheme="majorHAnsi"/>
        </w:rPr>
        <w:t xml:space="preserve"> the </w:t>
      </w:r>
      <w:r w:rsidR="001C466A" w:rsidRPr="00FA4DA6">
        <w:rPr>
          <w:rFonts w:ascii="Aptos" w:hAnsi="Aptos" w:cstheme="majorHAnsi"/>
        </w:rPr>
        <w:t>Manager.</w:t>
      </w:r>
    </w:p>
    <w:p w14:paraId="6A499647" w14:textId="77777777" w:rsidR="00773B22" w:rsidRPr="00FA4DA6" w:rsidRDefault="00773B22" w:rsidP="00773B22">
      <w:pPr>
        <w:jc w:val="both"/>
        <w:rPr>
          <w:rFonts w:ascii="Aptos" w:hAnsi="Aptos" w:cstheme="majorHAnsi"/>
        </w:rPr>
      </w:pPr>
    </w:p>
    <w:p w14:paraId="246F4176" w14:textId="6EDF0277" w:rsidR="00B96C66" w:rsidRPr="00FA4DA6" w:rsidRDefault="001C466A" w:rsidP="00B96C66">
      <w:pPr>
        <w:jc w:val="both"/>
        <w:rPr>
          <w:rFonts w:ascii="Aptos" w:hAnsi="Aptos" w:cstheme="majorHAnsi"/>
        </w:rPr>
      </w:pPr>
      <w:r w:rsidRPr="00FA4DA6">
        <w:rPr>
          <w:rFonts w:ascii="Aptos" w:hAnsi="Aptos" w:cstheme="majorHAnsi"/>
        </w:rPr>
        <w:t>The Manager</w:t>
      </w:r>
      <w:r w:rsidR="00773B22" w:rsidRPr="00FA4DA6">
        <w:rPr>
          <w:rFonts w:ascii="Aptos" w:hAnsi="Aptos" w:cstheme="majorHAnsi"/>
        </w:rPr>
        <w:t xml:space="preserve"> is acting on behalf of the Seller and no one else in connection with any offering of the Shares and will not be responsible to any other person for providing the protections afforded to any of its clients or for providing advice in relation to any offering of the Shares.</w:t>
      </w:r>
      <w:bookmarkEnd w:id="7"/>
      <w:bookmarkEnd w:id="8"/>
    </w:p>
    <w:p w14:paraId="38718144" w14:textId="77777777" w:rsidR="00BE6B3F" w:rsidRPr="00FA4DA6" w:rsidRDefault="00BE6B3F">
      <w:pPr>
        <w:rPr>
          <w:rFonts w:ascii="Aptos" w:hAnsi="Aptos" w:cstheme="majorHAnsi"/>
        </w:rPr>
      </w:pPr>
    </w:p>
    <w:p w14:paraId="7578EEF5" w14:textId="77777777" w:rsidR="00BE6B3F" w:rsidRPr="00FA4DA6" w:rsidRDefault="00BE6B3F">
      <w:pPr>
        <w:rPr>
          <w:rFonts w:ascii="Aptos" w:hAnsi="Aptos" w:cstheme="majorHAnsi"/>
          <w:sz w:val="24"/>
        </w:rPr>
      </w:pPr>
    </w:p>
    <w:sectPr w:rsidR="00BE6B3F" w:rsidRPr="00FA4DA6" w:rsidSect="00C9361C">
      <w:footerReference w:type="even" r:id="rId13"/>
      <w:footerReference w:type="first" r:id="rId14"/>
      <w:pgSz w:w="12240" w:h="15840"/>
      <w:pgMar w:top="1440" w:right="1080" w:bottom="1440" w:left="1440" w:header="720"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49BB9" w14:textId="77777777" w:rsidR="008F04B7" w:rsidRDefault="008F04B7" w:rsidP="000922AB">
      <w:r>
        <w:separator/>
      </w:r>
    </w:p>
  </w:endnote>
  <w:endnote w:type="continuationSeparator" w:id="0">
    <w:p w14:paraId="4F24CEAE" w14:textId="77777777" w:rsidR="008F04B7" w:rsidRDefault="008F04B7" w:rsidP="000922AB">
      <w:r>
        <w:continuationSeparator/>
      </w:r>
    </w:p>
  </w:endnote>
  <w:endnote w:type="continuationNotice" w:id="1">
    <w:p w14:paraId="42DC5A2B" w14:textId="77777777" w:rsidR="008F04B7" w:rsidRDefault="008F0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16DC" w14:textId="73BBBBF3" w:rsidR="009047E6" w:rsidRDefault="009047E6">
    <w:pPr>
      <w:pStyle w:val="Footer"/>
    </w:pPr>
    <w:r>
      <w:rPr>
        <w:noProof/>
      </w:rPr>
      <mc:AlternateContent>
        <mc:Choice Requires="wps">
          <w:drawing>
            <wp:anchor distT="0" distB="0" distL="0" distR="0" simplePos="0" relativeHeight="251658241" behindDoc="0" locked="0" layoutInCell="1" allowOverlap="1" wp14:anchorId="04264A33" wp14:editId="5A8D0866">
              <wp:simplePos x="635" y="635"/>
              <wp:positionH relativeFrom="page">
                <wp:align>center</wp:align>
              </wp:positionH>
              <wp:positionV relativeFrom="page">
                <wp:align>bottom</wp:align>
              </wp:positionV>
              <wp:extent cx="443865" cy="443865"/>
              <wp:effectExtent l="0" t="0" r="3175" b="0"/>
              <wp:wrapNone/>
              <wp:docPr id="2" name="Text Box 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AC9388" w14:textId="21A48A0C" w:rsidR="009047E6" w:rsidRPr="009047E6" w:rsidRDefault="009047E6" w:rsidP="009047E6">
                          <w:pPr>
                            <w:rPr>
                              <w:rFonts w:eastAsia="Calibri" w:cs="Calibri"/>
                              <w:noProof/>
                              <w:color w:val="000000"/>
                              <w:sz w:val="20"/>
                              <w:szCs w:val="20"/>
                            </w:rPr>
                          </w:pPr>
                          <w:r>
                            <w:rPr>
                              <w:rFonts w:eastAsia="Calibri" w:cs="Calibri"/>
                              <w:noProof/>
                              <w:color w:val="000000"/>
                              <w:sz w:val="20"/>
                              <w:szCs w:val="20"/>
                            </w:rPr>
                            <w:t>Restricted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264A33" id="_x0000_t202" coordsize="21600,21600" o:spt="202" path="m,l,21600r21600,l21600,xe">
              <v:stroke joinstyle="miter"/>
              <v:path gradientshapeok="t" o:connecttype="rect"/>
            </v:shapetype>
            <v:shape id="Text Box 2" o:spid="_x0000_s1026" type="#_x0000_t202"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2AC9388" w14:textId="21A48A0C" w:rsidR="009047E6" w:rsidRPr="009047E6" w:rsidRDefault="009047E6" w:rsidP="009047E6">
                    <w:pPr>
                      <w:rPr>
                        <w:rFonts w:eastAsia="Calibri" w:cs="Calibri"/>
                        <w:noProof/>
                        <w:color w:val="000000"/>
                        <w:sz w:val="20"/>
                        <w:szCs w:val="20"/>
                      </w:rPr>
                    </w:pPr>
                    <w:r>
                      <w:rPr>
                        <w:rFonts w:eastAsia="Calibri" w:cs="Calibri"/>
                        <w:noProof/>
                        <w:color w:val="000000"/>
                        <w:sz w:val="20"/>
                        <w:szCs w:val="20"/>
                      </w:rPr>
                      <w:t>Restricted -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CABF" w14:textId="26198E79" w:rsidR="009047E6" w:rsidRDefault="009047E6">
    <w:pPr>
      <w:pStyle w:val="Footer"/>
    </w:pPr>
    <w:r>
      <w:rPr>
        <w:noProof/>
      </w:rPr>
      <mc:AlternateContent>
        <mc:Choice Requires="wps">
          <w:drawing>
            <wp:anchor distT="0" distB="0" distL="0" distR="0" simplePos="0" relativeHeight="251658240" behindDoc="0" locked="0" layoutInCell="1" allowOverlap="1" wp14:anchorId="3D7B8270" wp14:editId="6AA59CD2">
              <wp:simplePos x="635" y="635"/>
              <wp:positionH relativeFrom="page">
                <wp:align>center</wp:align>
              </wp:positionH>
              <wp:positionV relativeFrom="page">
                <wp:align>bottom</wp:align>
              </wp:positionV>
              <wp:extent cx="443865" cy="443865"/>
              <wp:effectExtent l="0" t="0" r="3175" b="0"/>
              <wp:wrapNone/>
              <wp:docPr id="1" name="Text Box 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863B05" w14:textId="680539A8" w:rsidR="009047E6" w:rsidRPr="009047E6" w:rsidRDefault="009047E6" w:rsidP="009047E6">
                          <w:pPr>
                            <w:rPr>
                              <w:rFonts w:eastAsia="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7B8270" id="_x0000_t202" coordsize="21600,21600" o:spt="202" path="m,l,21600r21600,l21600,xe">
              <v:stroke joinstyle="miter"/>
              <v:path gradientshapeok="t" o:connecttype="rect"/>
            </v:shapetype>
            <v:shape id="Text Box 1" o:spid="_x0000_s1027" type="#_x0000_t202"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A863B05" w14:textId="680539A8" w:rsidR="009047E6" w:rsidRPr="009047E6" w:rsidRDefault="009047E6" w:rsidP="009047E6">
                    <w:pPr>
                      <w:rPr>
                        <w:rFonts w:eastAsia="Calibri"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94086" w14:textId="77777777" w:rsidR="008F04B7" w:rsidRDefault="008F04B7" w:rsidP="000922AB">
      <w:r>
        <w:separator/>
      </w:r>
    </w:p>
  </w:footnote>
  <w:footnote w:type="continuationSeparator" w:id="0">
    <w:p w14:paraId="74E59C36" w14:textId="77777777" w:rsidR="008F04B7" w:rsidRDefault="008F04B7" w:rsidP="000922AB">
      <w:r>
        <w:continuationSeparator/>
      </w:r>
    </w:p>
  </w:footnote>
  <w:footnote w:type="continuationNotice" w:id="1">
    <w:p w14:paraId="3FC7EE3F" w14:textId="77777777" w:rsidR="008F04B7" w:rsidRDefault="008F04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F1FC6"/>
    <w:multiLevelType w:val="hybridMultilevel"/>
    <w:tmpl w:val="FB9C38D2"/>
    <w:lvl w:ilvl="0" w:tplc="17CE86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358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endixFormat" w:val=" "/>
    <w:docVar w:name="AppendixSeparator" w:val=" "/>
    <w:docVar w:name="APWAFVersion" w:val="5.0"/>
    <w:docVar w:name="CustomTemplate" w:val="true"/>
    <w:docVar w:name="DocStatus" w:val="true"/>
    <w:docVar w:name="DropBelowFooter" w:val="0"/>
    <w:docVar w:name="iPageNumberOption" w:val="1"/>
    <w:docVar w:name="LastTopicLevel" w:val="3"/>
    <w:docVar w:name="LeftHeader" w:val="{Filename \p}, 6, Italic"/>
    <w:docVar w:name="PageNumberOption" w:val="1"/>
    <w:docVar w:name="PageNumberPosition" w:val="Left"/>
    <w:docVar w:name="PageTitleOption" w:val="0"/>
    <w:docVar w:name="PaperSize" w:val="A4"/>
    <w:docVar w:name="ResetDate" w:val=" "/>
    <w:docVar w:name="RightHeader" w:val="Confidential"/>
    <w:docVar w:name="StartingPageNumber" w:val="1"/>
    <w:docVar w:name="StartingTopicLevel" w:val="1"/>
    <w:docVar w:name="Styleset" w:val="CMB Portrait"/>
    <w:docVar w:name="TopicLevel1Format" w:val="arabic"/>
    <w:docVar w:name="TopicLevel1Separator" w:val="."/>
    <w:docVar w:name="TopicLevel2Format" w:val="ALPHABETIC"/>
    <w:docVar w:name="TopicLevel2Separator" w:val="."/>
    <w:docVar w:name="TopicLevel3Format" w:val="alphabetic"/>
    <w:docVar w:name="TopicLevel3Separator" w:val="."/>
    <w:docVar w:name="TopicLevelCount" w:val="0"/>
  </w:docVars>
  <w:rsids>
    <w:rsidRoot w:val="00B34401"/>
    <w:rsid w:val="00002B81"/>
    <w:rsid w:val="00005C47"/>
    <w:rsid w:val="000071EA"/>
    <w:rsid w:val="00013E5A"/>
    <w:rsid w:val="00017C21"/>
    <w:rsid w:val="00024A7C"/>
    <w:rsid w:val="0002677F"/>
    <w:rsid w:val="00027BD9"/>
    <w:rsid w:val="000447CE"/>
    <w:rsid w:val="000468A7"/>
    <w:rsid w:val="00073673"/>
    <w:rsid w:val="00082447"/>
    <w:rsid w:val="000922AB"/>
    <w:rsid w:val="0009443A"/>
    <w:rsid w:val="000B6D26"/>
    <w:rsid w:val="000C2F23"/>
    <w:rsid w:val="000C5C50"/>
    <w:rsid w:val="000D7773"/>
    <w:rsid w:val="000E23FB"/>
    <w:rsid w:val="000E3434"/>
    <w:rsid w:val="00111C65"/>
    <w:rsid w:val="00122859"/>
    <w:rsid w:val="001238F8"/>
    <w:rsid w:val="001334A7"/>
    <w:rsid w:val="0013406F"/>
    <w:rsid w:val="001424D9"/>
    <w:rsid w:val="00144827"/>
    <w:rsid w:val="0015208B"/>
    <w:rsid w:val="00173D69"/>
    <w:rsid w:val="00182039"/>
    <w:rsid w:val="001828D7"/>
    <w:rsid w:val="00186CB5"/>
    <w:rsid w:val="00191991"/>
    <w:rsid w:val="0019360E"/>
    <w:rsid w:val="001B5F8F"/>
    <w:rsid w:val="001B607A"/>
    <w:rsid w:val="001C466A"/>
    <w:rsid w:val="001C7729"/>
    <w:rsid w:val="001C7D71"/>
    <w:rsid w:val="001D380A"/>
    <w:rsid w:val="001D6765"/>
    <w:rsid w:val="001E477C"/>
    <w:rsid w:val="001F08A7"/>
    <w:rsid w:val="002164E5"/>
    <w:rsid w:val="002208B4"/>
    <w:rsid w:val="00225806"/>
    <w:rsid w:val="00226513"/>
    <w:rsid w:val="0023247C"/>
    <w:rsid w:val="00236080"/>
    <w:rsid w:val="00243961"/>
    <w:rsid w:val="0025104B"/>
    <w:rsid w:val="00255C3A"/>
    <w:rsid w:val="0026425F"/>
    <w:rsid w:val="002779A5"/>
    <w:rsid w:val="00291B77"/>
    <w:rsid w:val="00293C15"/>
    <w:rsid w:val="00297476"/>
    <w:rsid w:val="00297625"/>
    <w:rsid w:val="002A7BA5"/>
    <w:rsid w:val="002B374F"/>
    <w:rsid w:val="002B6E50"/>
    <w:rsid w:val="002C1EFD"/>
    <w:rsid w:val="002C4E04"/>
    <w:rsid w:val="002C7271"/>
    <w:rsid w:val="00301088"/>
    <w:rsid w:val="00305FDE"/>
    <w:rsid w:val="00314E5D"/>
    <w:rsid w:val="00317576"/>
    <w:rsid w:val="00320AAA"/>
    <w:rsid w:val="00320CBE"/>
    <w:rsid w:val="00340832"/>
    <w:rsid w:val="0035051A"/>
    <w:rsid w:val="0036506F"/>
    <w:rsid w:val="00370AC5"/>
    <w:rsid w:val="00380AF2"/>
    <w:rsid w:val="003A21F5"/>
    <w:rsid w:val="003A7E9E"/>
    <w:rsid w:val="003C3D60"/>
    <w:rsid w:val="003D1DEC"/>
    <w:rsid w:val="003D239E"/>
    <w:rsid w:val="003E42BA"/>
    <w:rsid w:val="003E7052"/>
    <w:rsid w:val="0041056C"/>
    <w:rsid w:val="00416693"/>
    <w:rsid w:val="00420FE6"/>
    <w:rsid w:val="0044116F"/>
    <w:rsid w:val="00446203"/>
    <w:rsid w:val="0046709B"/>
    <w:rsid w:val="0047119C"/>
    <w:rsid w:val="0047681D"/>
    <w:rsid w:val="00482ED4"/>
    <w:rsid w:val="0049528B"/>
    <w:rsid w:val="004A477A"/>
    <w:rsid w:val="004B0B57"/>
    <w:rsid w:val="004B406A"/>
    <w:rsid w:val="004C3AC4"/>
    <w:rsid w:val="004C4CB2"/>
    <w:rsid w:val="004D04EF"/>
    <w:rsid w:val="004D13CE"/>
    <w:rsid w:val="004E0B4B"/>
    <w:rsid w:val="004E2536"/>
    <w:rsid w:val="004E2F70"/>
    <w:rsid w:val="004E328B"/>
    <w:rsid w:val="004E3882"/>
    <w:rsid w:val="004E6DE4"/>
    <w:rsid w:val="00500800"/>
    <w:rsid w:val="0050314B"/>
    <w:rsid w:val="00510755"/>
    <w:rsid w:val="00510D17"/>
    <w:rsid w:val="00514B2A"/>
    <w:rsid w:val="005254C3"/>
    <w:rsid w:val="0054251E"/>
    <w:rsid w:val="00543836"/>
    <w:rsid w:val="00560290"/>
    <w:rsid w:val="005658F7"/>
    <w:rsid w:val="0056778E"/>
    <w:rsid w:val="00573439"/>
    <w:rsid w:val="00575E49"/>
    <w:rsid w:val="00597354"/>
    <w:rsid w:val="005A1575"/>
    <w:rsid w:val="005A41C2"/>
    <w:rsid w:val="005A5E45"/>
    <w:rsid w:val="005B16E7"/>
    <w:rsid w:val="005B719C"/>
    <w:rsid w:val="005B7245"/>
    <w:rsid w:val="005C3B22"/>
    <w:rsid w:val="005E5EA0"/>
    <w:rsid w:val="005E782F"/>
    <w:rsid w:val="005F45A0"/>
    <w:rsid w:val="00614090"/>
    <w:rsid w:val="006164E9"/>
    <w:rsid w:val="006323D1"/>
    <w:rsid w:val="00633E94"/>
    <w:rsid w:val="00636B9E"/>
    <w:rsid w:val="00637802"/>
    <w:rsid w:val="00640CBF"/>
    <w:rsid w:val="00641BA8"/>
    <w:rsid w:val="0064741F"/>
    <w:rsid w:val="00662B18"/>
    <w:rsid w:val="00677959"/>
    <w:rsid w:val="0068520E"/>
    <w:rsid w:val="006871A4"/>
    <w:rsid w:val="00691EA0"/>
    <w:rsid w:val="00692676"/>
    <w:rsid w:val="006A1451"/>
    <w:rsid w:val="006C4D30"/>
    <w:rsid w:val="006C52FF"/>
    <w:rsid w:val="006C595F"/>
    <w:rsid w:val="006C5C59"/>
    <w:rsid w:val="006D06EF"/>
    <w:rsid w:val="006D4A7A"/>
    <w:rsid w:val="006E09D8"/>
    <w:rsid w:val="006E188C"/>
    <w:rsid w:val="006F1937"/>
    <w:rsid w:val="006F67E1"/>
    <w:rsid w:val="006F729F"/>
    <w:rsid w:val="00704182"/>
    <w:rsid w:val="00704778"/>
    <w:rsid w:val="00704E3C"/>
    <w:rsid w:val="007075B4"/>
    <w:rsid w:val="00715C93"/>
    <w:rsid w:val="00741052"/>
    <w:rsid w:val="00745DEB"/>
    <w:rsid w:val="00745E72"/>
    <w:rsid w:val="007548BE"/>
    <w:rsid w:val="00755005"/>
    <w:rsid w:val="007607D8"/>
    <w:rsid w:val="00761534"/>
    <w:rsid w:val="007634A7"/>
    <w:rsid w:val="00773B22"/>
    <w:rsid w:val="00775C72"/>
    <w:rsid w:val="00777B4A"/>
    <w:rsid w:val="00786DE1"/>
    <w:rsid w:val="007A7945"/>
    <w:rsid w:val="007B1CCD"/>
    <w:rsid w:val="007B1D33"/>
    <w:rsid w:val="007C3C4E"/>
    <w:rsid w:val="007C7F71"/>
    <w:rsid w:val="007D2A48"/>
    <w:rsid w:val="007D598C"/>
    <w:rsid w:val="007D6371"/>
    <w:rsid w:val="007E1914"/>
    <w:rsid w:val="00806431"/>
    <w:rsid w:val="008133D4"/>
    <w:rsid w:val="00813D98"/>
    <w:rsid w:val="00841F8A"/>
    <w:rsid w:val="00851071"/>
    <w:rsid w:val="00867F0F"/>
    <w:rsid w:val="00874A08"/>
    <w:rsid w:val="008825F0"/>
    <w:rsid w:val="00892681"/>
    <w:rsid w:val="00896C1B"/>
    <w:rsid w:val="008A62A4"/>
    <w:rsid w:val="008A7AD8"/>
    <w:rsid w:val="008B39A4"/>
    <w:rsid w:val="008B540F"/>
    <w:rsid w:val="008B560C"/>
    <w:rsid w:val="008C1668"/>
    <w:rsid w:val="008C5129"/>
    <w:rsid w:val="008D0E3E"/>
    <w:rsid w:val="008D3F27"/>
    <w:rsid w:val="008D6444"/>
    <w:rsid w:val="008F04B7"/>
    <w:rsid w:val="008F3417"/>
    <w:rsid w:val="008F5C8F"/>
    <w:rsid w:val="009047E6"/>
    <w:rsid w:val="00914299"/>
    <w:rsid w:val="00922E02"/>
    <w:rsid w:val="00923239"/>
    <w:rsid w:val="0093104E"/>
    <w:rsid w:val="00931709"/>
    <w:rsid w:val="009468D7"/>
    <w:rsid w:val="00977F7E"/>
    <w:rsid w:val="00984E2F"/>
    <w:rsid w:val="0098588D"/>
    <w:rsid w:val="00995B8F"/>
    <w:rsid w:val="00997972"/>
    <w:rsid w:val="00997A7D"/>
    <w:rsid w:val="009A7AC1"/>
    <w:rsid w:val="009B540E"/>
    <w:rsid w:val="009D52B7"/>
    <w:rsid w:val="009D540C"/>
    <w:rsid w:val="009D6316"/>
    <w:rsid w:val="009D7CF0"/>
    <w:rsid w:val="009E72C6"/>
    <w:rsid w:val="009E7585"/>
    <w:rsid w:val="009F16F5"/>
    <w:rsid w:val="009F4D96"/>
    <w:rsid w:val="009F78EE"/>
    <w:rsid w:val="00A109C2"/>
    <w:rsid w:val="00A12108"/>
    <w:rsid w:val="00A137E1"/>
    <w:rsid w:val="00A13C4A"/>
    <w:rsid w:val="00A17FBE"/>
    <w:rsid w:val="00A35769"/>
    <w:rsid w:val="00A42049"/>
    <w:rsid w:val="00A52A3E"/>
    <w:rsid w:val="00A54D0B"/>
    <w:rsid w:val="00A64DCC"/>
    <w:rsid w:val="00A81246"/>
    <w:rsid w:val="00A9251D"/>
    <w:rsid w:val="00AB1800"/>
    <w:rsid w:val="00AB7841"/>
    <w:rsid w:val="00AC6600"/>
    <w:rsid w:val="00AC68C7"/>
    <w:rsid w:val="00AC75C2"/>
    <w:rsid w:val="00AD0F36"/>
    <w:rsid w:val="00AD1299"/>
    <w:rsid w:val="00AE1295"/>
    <w:rsid w:val="00AE2276"/>
    <w:rsid w:val="00B00601"/>
    <w:rsid w:val="00B24A2C"/>
    <w:rsid w:val="00B34401"/>
    <w:rsid w:val="00B3720B"/>
    <w:rsid w:val="00B41716"/>
    <w:rsid w:val="00B614C5"/>
    <w:rsid w:val="00B71094"/>
    <w:rsid w:val="00B83687"/>
    <w:rsid w:val="00B955E8"/>
    <w:rsid w:val="00B9571F"/>
    <w:rsid w:val="00B96C66"/>
    <w:rsid w:val="00BA0537"/>
    <w:rsid w:val="00BB2922"/>
    <w:rsid w:val="00BB5D63"/>
    <w:rsid w:val="00BC668A"/>
    <w:rsid w:val="00BE5191"/>
    <w:rsid w:val="00BE6B3F"/>
    <w:rsid w:val="00BF770B"/>
    <w:rsid w:val="00C123FB"/>
    <w:rsid w:val="00C20E64"/>
    <w:rsid w:val="00C25033"/>
    <w:rsid w:val="00C34AFF"/>
    <w:rsid w:val="00C54F34"/>
    <w:rsid w:val="00C554FF"/>
    <w:rsid w:val="00C863D7"/>
    <w:rsid w:val="00C922DC"/>
    <w:rsid w:val="00C9361C"/>
    <w:rsid w:val="00C93CBE"/>
    <w:rsid w:val="00C950EE"/>
    <w:rsid w:val="00CA00A0"/>
    <w:rsid w:val="00CA2DBB"/>
    <w:rsid w:val="00CB00A6"/>
    <w:rsid w:val="00CB084E"/>
    <w:rsid w:val="00CB42B4"/>
    <w:rsid w:val="00CC06C9"/>
    <w:rsid w:val="00CC0E91"/>
    <w:rsid w:val="00CC219C"/>
    <w:rsid w:val="00CD0DA5"/>
    <w:rsid w:val="00CD1E54"/>
    <w:rsid w:val="00CD3473"/>
    <w:rsid w:val="00CE06C1"/>
    <w:rsid w:val="00CE40DF"/>
    <w:rsid w:val="00CE4D59"/>
    <w:rsid w:val="00CE4F71"/>
    <w:rsid w:val="00CF6D1D"/>
    <w:rsid w:val="00D0118B"/>
    <w:rsid w:val="00D02795"/>
    <w:rsid w:val="00D33744"/>
    <w:rsid w:val="00D41DAB"/>
    <w:rsid w:val="00D42C82"/>
    <w:rsid w:val="00D721A4"/>
    <w:rsid w:val="00DA331B"/>
    <w:rsid w:val="00DB1BF4"/>
    <w:rsid w:val="00DC3AA8"/>
    <w:rsid w:val="00DC7B02"/>
    <w:rsid w:val="00DC7E05"/>
    <w:rsid w:val="00DD1AD4"/>
    <w:rsid w:val="00DD5D4A"/>
    <w:rsid w:val="00DE136B"/>
    <w:rsid w:val="00DE33B2"/>
    <w:rsid w:val="00DF4879"/>
    <w:rsid w:val="00E03D02"/>
    <w:rsid w:val="00E03ECA"/>
    <w:rsid w:val="00E117A5"/>
    <w:rsid w:val="00E135D6"/>
    <w:rsid w:val="00E13F99"/>
    <w:rsid w:val="00E1780B"/>
    <w:rsid w:val="00E20DD4"/>
    <w:rsid w:val="00E2789A"/>
    <w:rsid w:val="00E317F1"/>
    <w:rsid w:val="00E4585F"/>
    <w:rsid w:val="00E505CF"/>
    <w:rsid w:val="00E51776"/>
    <w:rsid w:val="00E574AB"/>
    <w:rsid w:val="00E642CC"/>
    <w:rsid w:val="00E72A50"/>
    <w:rsid w:val="00E76628"/>
    <w:rsid w:val="00E8667F"/>
    <w:rsid w:val="00E92ECE"/>
    <w:rsid w:val="00E934A6"/>
    <w:rsid w:val="00EB1191"/>
    <w:rsid w:val="00EC5A84"/>
    <w:rsid w:val="00ED2D78"/>
    <w:rsid w:val="00ED3575"/>
    <w:rsid w:val="00ED7318"/>
    <w:rsid w:val="00EE243A"/>
    <w:rsid w:val="00EF1D09"/>
    <w:rsid w:val="00F10369"/>
    <w:rsid w:val="00F1329F"/>
    <w:rsid w:val="00F15A35"/>
    <w:rsid w:val="00F24022"/>
    <w:rsid w:val="00F41027"/>
    <w:rsid w:val="00F54BCE"/>
    <w:rsid w:val="00F7114A"/>
    <w:rsid w:val="00F72A61"/>
    <w:rsid w:val="00F72EDB"/>
    <w:rsid w:val="00F76B7B"/>
    <w:rsid w:val="00F76F35"/>
    <w:rsid w:val="00F80A85"/>
    <w:rsid w:val="00F9420C"/>
    <w:rsid w:val="00FA1B10"/>
    <w:rsid w:val="00FA4DA6"/>
    <w:rsid w:val="00FA7142"/>
    <w:rsid w:val="00FB29D2"/>
    <w:rsid w:val="00FB340A"/>
    <w:rsid w:val="00FC6773"/>
    <w:rsid w:val="00FD041D"/>
    <w:rsid w:val="00FD605F"/>
    <w:rsid w:val="00FE20DC"/>
    <w:rsid w:val="00FE2717"/>
    <w:rsid w:val="00FE3A3C"/>
    <w:rsid w:val="00FE5D9F"/>
    <w:rsid w:val="00FF149C"/>
    <w:rsid w:val="00FF6D8F"/>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5CA7D"/>
  <w15:chartTrackingRefBased/>
  <w15:docId w15:val="{C3D3E0CF-D0BE-46A4-BD93-F4254C19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401"/>
    <w:pPr>
      <w:spacing w:after="0" w:line="240" w:lineRule="auto"/>
    </w:pPr>
    <w:rPr>
      <w:rFonts w:ascii="Arial" w:hAnsi="Arial" w:cs="Aria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4401"/>
    <w:pPr>
      <w:spacing w:before="100" w:beforeAutospacing="1" w:after="100" w:afterAutospacing="1"/>
    </w:pPr>
    <w:rPr>
      <w:rFonts w:ascii="Times New Roman" w:hAnsi="Times New Roman"/>
      <w:sz w:val="24"/>
      <w:szCs w:val="24"/>
    </w:rPr>
  </w:style>
  <w:style w:type="paragraph" w:customStyle="1" w:styleId="Bullet">
    <w:name w:val="Bullet"/>
    <w:basedOn w:val="Normal"/>
    <w:rsid w:val="002A7BA5"/>
    <w:pPr>
      <w:ind w:left="360" w:hanging="360"/>
    </w:pPr>
    <w:rPr>
      <w:rFonts w:ascii="Times New Roman" w:hAnsi="Times New Roman"/>
      <w:sz w:val="24"/>
      <w:szCs w:val="24"/>
    </w:rPr>
  </w:style>
  <w:style w:type="paragraph" w:customStyle="1" w:styleId="PBBody">
    <w:name w:val="PB Body"/>
    <w:basedOn w:val="Normal"/>
    <w:uiPriority w:val="99"/>
    <w:semiHidden/>
    <w:rsid w:val="00B34401"/>
    <w:pPr>
      <w:spacing w:before="240" w:line="270" w:lineRule="atLeast"/>
      <w:jc w:val="both"/>
    </w:pPr>
    <w:rPr>
      <w:rFonts w:ascii="Times New Roman" w:hAnsi="Times New Roman"/>
      <w:sz w:val="20"/>
      <w:szCs w:val="20"/>
    </w:rPr>
  </w:style>
  <w:style w:type="paragraph" w:styleId="Header">
    <w:name w:val="header"/>
    <w:basedOn w:val="Normal"/>
    <w:link w:val="HeaderChar"/>
    <w:uiPriority w:val="99"/>
    <w:unhideWhenUsed/>
    <w:rsid w:val="000922AB"/>
    <w:pPr>
      <w:tabs>
        <w:tab w:val="center" w:pos="4513"/>
        <w:tab w:val="right" w:pos="9026"/>
      </w:tabs>
    </w:pPr>
  </w:style>
  <w:style w:type="character" w:customStyle="1" w:styleId="w">
    <w:name w:val="w"/>
    <w:basedOn w:val="DefaultParagraphFont"/>
    <w:rsid w:val="00B34401"/>
    <w:rPr>
      <w:rFonts w:ascii="Times New Roman" w:hAnsi="Times New Roman" w:cs="Times New Roman" w:hint="default"/>
    </w:rPr>
  </w:style>
  <w:style w:type="paragraph" w:styleId="BalloonText">
    <w:name w:val="Balloon Text"/>
    <w:basedOn w:val="Normal"/>
    <w:link w:val="BalloonTextChar"/>
    <w:uiPriority w:val="99"/>
    <w:semiHidden/>
    <w:unhideWhenUsed/>
    <w:rsid w:val="004166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693"/>
    <w:rPr>
      <w:rFonts w:ascii="Segoe UI" w:hAnsi="Segoe UI" w:cs="Segoe UI"/>
      <w:sz w:val="18"/>
      <w:szCs w:val="18"/>
      <w:lang w:eastAsia="en-GB"/>
    </w:rPr>
  </w:style>
  <w:style w:type="character" w:customStyle="1" w:styleId="HeaderChar">
    <w:name w:val="Header Char"/>
    <w:basedOn w:val="DefaultParagraphFont"/>
    <w:link w:val="Header"/>
    <w:uiPriority w:val="99"/>
    <w:rsid w:val="000922AB"/>
    <w:rPr>
      <w:rFonts w:ascii="Calibri" w:hAnsi="Calibri" w:cs="Times New Roman"/>
      <w:lang w:eastAsia="en-GB"/>
    </w:rPr>
  </w:style>
  <w:style w:type="paragraph" w:styleId="Footer">
    <w:name w:val="footer"/>
    <w:basedOn w:val="Normal"/>
    <w:link w:val="FooterChar"/>
    <w:uiPriority w:val="99"/>
    <w:unhideWhenUsed/>
    <w:rsid w:val="000922AB"/>
    <w:pPr>
      <w:tabs>
        <w:tab w:val="center" w:pos="4513"/>
        <w:tab w:val="right" w:pos="9026"/>
      </w:tabs>
    </w:pPr>
  </w:style>
  <w:style w:type="paragraph" w:customStyle="1" w:styleId="NormalWeb1">
    <w:name w:val="NormalWeb_1"/>
    <w:uiPriority w:val="99"/>
    <w:unhideWhenUsed/>
    <w:pPr>
      <w:spacing w:before="100" w:beforeAutospacing="1" w:after="100" w:afterAutospacing="1" w:line="240" w:lineRule="auto"/>
    </w:pPr>
    <w:rPr>
      <w:rFonts w:ascii="Times New Roman" w:hAnsi="Times New Roman" w:cs="Times New Roman"/>
      <w:sz w:val="24"/>
      <w:szCs w:val="24"/>
      <w:lang w:eastAsia="en-GB"/>
    </w:rPr>
  </w:style>
  <w:style w:type="character" w:customStyle="1" w:styleId="FooterChar">
    <w:name w:val="Footer Char"/>
    <w:basedOn w:val="DefaultParagraphFont"/>
    <w:link w:val="Footer"/>
    <w:uiPriority w:val="99"/>
    <w:rsid w:val="000922AB"/>
    <w:rPr>
      <w:rFonts w:ascii="Calibri" w:hAnsi="Calibri" w:cs="Times New Roman"/>
      <w:lang w:eastAsia="en-GB"/>
    </w:rPr>
  </w:style>
  <w:style w:type="paragraph" w:styleId="Revision">
    <w:name w:val="Revision"/>
    <w:hidden/>
    <w:uiPriority w:val="99"/>
    <w:semiHidden/>
    <w:rsid w:val="005C3B22"/>
    <w:pPr>
      <w:spacing w:after="0" w:line="240" w:lineRule="auto"/>
    </w:pPr>
    <w:rPr>
      <w:rFonts w:ascii="Calibri" w:hAnsi="Calibri" w:cs="Times New Roman"/>
      <w:lang w:eastAsia="en-GB"/>
    </w:rPr>
  </w:style>
  <w:style w:type="character" w:styleId="CommentReference">
    <w:name w:val="annotation reference"/>
    <w:basedOn w:val="DefaultParagraphFont"/>
    <w:uiPriority w:val="99"/>
    <w:semiHidden/>
    <w:unhideWhenUsed/>
    <w:rsid w:val="00DA331B"/>
    <w:rPr>
      <w:sz w:val="16"/>
      <w:szCs w:val="16"/>
    </w:rPr>
  </w:style>
  <w:style w:type="paragraph" w:styleId="CommentText">
    <w:name w:val="annotation text"/>
    <w:basedOn w:val="Normal"/>
    <w:link w:val="CommentTextChar"/>
    <w:uiPriority w:val="99"/>
    <w:unhideWhenUsed/>
    <w:rsid w:val="00DA331B"/>
    <w:rPr>
      <w:sz w:val="20"/>
      <w:szCs w:val="20"/>
    </w:rPr>
  </w:style>
  <w:style w:type="character" w:customStyle="1" w:styleId="CommentTextChar">
    <w:name w:val="Comment Text Char"/>
    <w:basedOn w:val="DefaultParagraphFont"/>
    <w:link w:val="CommentText"/>
    <w:uiPriority w:val="99"/>
    <w:rsid w:val="00DA331B"/>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A331B"/>
    <w:rPr>
      <w:b/>
      <w:bCs/>
    </w:rPr>
  </w:style>
  <w:style w:type="character" w:customStyle="1" w:styleId="CommentSubjectChar">
    <w:name w:val="Comment Subject Char"/>
    <w:basedOn w:val="CommentTextChar"/>
    <w:link w:val="CommentSubject"/>
    <w:uiPriority w:val="99"/>
    <w:semiHidden/>
    <w:rsid w:val="00DA331B"/>
    <w:rPr>
      <w:rFonts w:ascii="Calibri" w:hAnsi="Calibri" w:cs="Times New Roman"/>
      <w:b/>
      <w:bCs/>
      <w:sz w:val="20"/>
      <w:szCs w:val="20"/>
      <w:lang w:eastAsia="en-GB"/>
    </w:rPr>
  </w:style>
  <w:style w:type="character" w:customStyle="1" w:styleId="w1">
    <w:name w:val="w_1"/>
    <w:rPr>
      <w:rFonts w:ascii="Times New Roman" w:hAnsi="Times New Roman" w:cs="Times New Roman" w:hint="defaul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73924">
      <w:bodyDiv w:val="1"/>
      <w:marLeft w:val="0"/>
      <w:marRight w:val="0"/>
      <w:marTop w:val="0"/>
      <w:marBottom w:val="0"/>
      <w:divBdr>
        <w:top w:val="none" w:sz="0" w:space="0" w:color="auto"/>
        <w:left w:val="none" w:sz="0" w:space="0" w:color="auto"/>
        <w:bottom w:val="none" w:sz="0" w:space="0" w:color="auto"/>
        <w:right w:val="none" w:sz="0" w:space="0" w:color="auto"/>
      </w:divBdr>
    </w:div>
    <w:div w:id="282268325">
      <w:bodyDiv w:val="1"/>
      <w:marLeft w:val="0"/>
      <w:marRight w:val="0"/>
      <w:marTop w:val="0"/>
      <w:marBottom w:val="0"/>
      <w:divBdr>
        <w:top w:val="none" w:sz="0" w:space="0" w:color="auto"/>
        <w:left w:val="none" w:sz="0" w:space="0" w:color="auto"/>
        <w:bottom w:val="none" w:sz="0" w:space="0" w:color="auto"/>
        <w:right w:val="none" w:sz="0" w:space="0" w:color="auto"/>
      </w:divBdr>
    </w:div>
    <w:div w:id="212075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ICG">
      <a:dk1>
        <a:sysClr val="windowText" lastClr="000000"/>
      </a:dk1>
      <a:lt1>
        <a:sysClr val="window" lastClr="FFFFFF"/>
      </a:lt1>
      <a:dk2>
        <a:srgbClr val="CCF2FC"/>
      </a:dk2>
      <a:lt2>
        <a:srgbClr val="EAEBEB"/>
      </a:lt2>
      <a:accent1>
        <a:srgbClr val="002D72"/>
      </a:accent1>
      <a:accent2>
        <a:srgbClr val="00BDF2"/>
      </a:accent2>
      <a:accent3>
        <a:srgbClr val="53565A"/>
      </a:accent3>
      <a:accent4>
        <a:srgbClr val="97999B"/>
      </a:accent4>
      <a:accent5>
        <a:srgbClr val="CB6015"/>
      </a:accent5>
      <a:accent6>
        <a:srgbClr val="FFFFFF"/>
      </a:accent6>
      <a:hlink>
        <a:srgbClr val="00BDF2"/>
      </a:hlink>
      <a:folHlink>
        <a:srgbClr val="00BDF2"/>
      </a:folHlink>
    </a:clrScheme>
    <a:fontScheme name="ICG Fonts">
      <a:majorFont>
        <a:latin typeface="Arial"/>
        <a:ea typeface="STKaiti"/>
        <a:cs typeface=""/>
        <a:font script="Jpan" typeface="MS PGothic"/>
      </a:majorFont>
      <a:minorFont>
        <a:latin typeface="Arial"/>
        <a:ea typeface="STKaiti"/>
        <a:cs typeface=""/>
        <a:font script="Jpan" typeface="MS PGothic"/>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 M A T T E R S ! 3 5 6 9 0 3 6 . 1 < / d o c u m e n t i d >  
     < s e n d e r i d > V . E F T H Y M I O U @ Z E Y A . C O M < / s e n d e r i d >  
     < s e n d e r e m a i l > V . E F T H Y M I O U @ Z E Y A . C O M < / s e n d e r e m a i l >  
     < l a s t m o d i f i e d > 2 0 2 4 - 0 5 - 1 7 T 1 6 : 5 9 : 0 0 . 0 0 0 0 0 0 0 + 0 3 : 0 0 < / l a s t m o d i f i e d >  
     < d a t a b a s e > M A T T E R S < / d a t a b a s e >  
 < / p r o p e r t i e s > 
</file>

<file path=customXml/item2.xml>��< ? x m l   v e r s i o n = " 1 . 0 "   e n c o d i n g = " u t f - 1 6 " ? > < p r o p e r t i e s   x m l n s = " h t t p : / / w w w . i m a n a g e . c o m / w o r k / x m l s c h e m a " >  
     < d o c u m e n t i d > M A T T E R S ! 3 5 6 9 0 3 6 . 1 < / d o c u m e n t i d >  
     < s e n d e r i d > V . E F T H Y M I O U @ Z E Y A . C O M < / s e n d e r i d >  
     < s e n d e r e m a i l > V . E F T H Y M I O U @ Z E Y A . C O M < / s e n d e r e m a i l >  
     < l a s t m o d i f i e d > 2 0 2 4 - 0 5 - 1 7 T 1 6 : 5 9 : 0 0 . 0 0 0 0 0 0 0 + 0 3 : 0 0 < / l a s t m o d i f i e d >  
     < d a t a b a s e > M A T T E R S < / d a t a b a s e >  
 < / 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8520ff9-8eeb-4aa8-ac74-144872595692" xsi:nil="true"/>
    <lcf76f155ced4ddcb4097134ff3c332f xmlns="e5655504-6627-42a1-9520-32df144c1d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30B1A3C01DAC40BCB4B6D946AB2892" ma:contentTypeVersion="21" ma:contentTypeDescription="Create a new document." ma:contentTypeScope="" ma:versionID="68bd3078aeeefbaa92d5c7c0747aef36">
  <xsd:schema xmlns:xsd="http://www.w3.org/2001/XMLSchema" xmlns:xs="http://www.w3.org/2001/XMLSchema" xmlns:p="http://schemas.microsoft.com/office/2006/metadata/properties" xmlns:ns1="http://schemas.microsoft.com/sharepoint/v3" xmlns:ns2="e5655504-6627-42a1-9520-32df144c1d55" xmlns:ns3="68520ff9-8eeb-4aa8-ac74-144872595692" targetNamespace="http://schemas.microsoft.com/office/2006/metadata/properties" ma:root="true" ma:fieldsID="cef7a824454367f804eda5ddb88dac86" ns1:_="" ns2:_="" ns3:_="">
    <xsd:import namespace="http://schemas.microsoft.com/sharepoint/v3"/>
    <xsd:import namespace="e5655504-6627-42a1-9520-32df144c1d55"/>
    <xsd:import namespace="68520ff9-8eeb-4aa8-ac74-1448725956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55504-6627-42a1-9520-32df144c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59d7ac6-6730-49b3-bbbd-3c292c701e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20ff9-8eeb-4aa8-ac74-1448725956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c19227b-3dbb-49df-bc15-597c4aa23d2b}" ma:internalName="TaxCatchAll" ma:showField="CatchAllData" ma:web="68520ff9-8eeb-4aa8-ac74-1448725956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FE184-0602-4998-B197-4A36C90BE646}">
  <ds:schemaRefs>
    <ds:schemaRef ds:uri="http://www.imanage.com/work/xmlschema"/>
  </ds:schemaRefs>
</ds:datastoreItem>
</file>

<file path=customXml/itemProps2.xml><?xml version="1.0" encoding="utf-8"?>
<ds:datastoreItem xmlns:ds="http://schemas.openxmlformats.org/officeDocument/2006/customXml" ds:itemID="{DFF624CC-9B70-4665-AF2D-96CF4D116306}">
  <ds:schemaRefs>
    <ds:schemaRef ds:uri="http://www.imanage.com/work/xmlschema"/>
  </ds:schemaRefs>
</ds:datastoreItem>
</file>

<file path=customXml/itemProps3.xml><?xml version="1.0" encoding="utf-8"?>
<ds:datastoreItem xmlns:ds="http://schemas.openxmlformats.org/officeDocument/2006/customXml" ds:itemID="{084B5CD6-1972-476A-ADEE-D43BB9B2A9FA}">
  <ds:schemaRefs>
    <ds:schemaRef ds:uri="http://schemas.microsoft.com/office/2006/metadata/properties"/>
    <ds:schemaRef ds:uri="http://schemas.microsoft.com/office/infopath/2007/PartnerControls"/>
    <ds:schemaRef ds:uri="http://schemas.microsoft.com/sharepoint/v3"/>
    <ds:schemaRef ds:uri="68520ff9-8eeb-4aa8-ac74-144872595692"/>
    <ds:schemaRef ds:uri="e5655504-6627-42a1-9520-32df144c1d55"/>
  </ds:schemaRefs>
</ds:datastoreItem>
</file>

<file path=customXml/itemProps4.xml><?xml version="1.0" encoding="utf-8"?>
<ds:datastoreItem xmlns:ds="http://schemas.openxmlformats.org/officeDocument/2006/customXml" ds:itemID="{521365DD-9CD0-44C4-B008-DF5F130B8F71}">
  <ds:schemaRefs>
    <ds:schemaRef ds:uri="http://schemas.microsoft.com/sharepoint/v3/contenttype/forms"/>
  </ds:schemaRefs>
</ds:datastoreItem>
</file>

<file path=customXml/itemProps5.xml><?xml version="1.0" encoding="utf-8"?>
<ds:datastoreItem xmlns:ds="http://schemas.openxmlformats.org/officeDocument/2006/customXml" ds:itemID="{BE66F78C-E79E-45BD-BD59-1C548EFE7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655504-6627-42a1-9520-32df144c1d55"/>
    <ds:schemaRef ds:uri="68520ff9-8eeb-4aa8-ac74-144872595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A619A58-37FB-4D36-AB4D-84C1CE2DC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EX</Manager>
  <Company>EYATH</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aninios@euroxx.gr</dc:creator>
  <cp:keywords/>
  <cp:lastModifiedBy>Panayotis Tsagaris</cp:lastModifiedBy>
  <cp:revision>4</cp:revision>
  <cp:lastPrinted>2025-12-08T13:57:00Z</cp:lastPrinted>
  <dcterms:created xsi:type="dcterms:W3CDTF">2025-12-08T16:12:00Z</dcterms:created>
  <dcterms:modified xsi:type="dcterms:W3CDTF">2025-12-08T16:21:00Z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Name">
    <vt:lpwstr> </vt:lpwstr>
  </property>
  <property fmtid="{D5CDD505-2E9C-101B-9397-08002B2CF9AE}" pid="3" name="Template">
    <vt:lpwstr>CMB_Word</vt:lpwstr>
  </property>
  <property fmtid="{D5CDD505-2E9C-101B-9397-08002B2CF9AE}" pid="4" name="Version">
    <vt:lpwstr>Version6.1.0.63</vt:lpwstr>
  </property>
  <property fmtid="{D5CDD505-2E9C-101B-9397-08002B2CF9AE}" pid="5" name="MSIP_Label_dd181445-6ec4-4473-9810-00785f082df0_Enabled">
    <vt:lpwstr>true</vt:lpwstr>
  </property>
  <property fmtid="{D5CDD505-2E9C-101B-9397-08002B2CF9AE}" pid="6" name="MSIP_Label_dd181445-6ec4-4473-9810-00785f082df0_SetDate">
    <vt:lpwstr>2024-05-20T09:22:55Z</vt:lpwstr>
  </property>
  <property fmtid="{D5CDD505-2E9C-101B-9397-08002B2CF9AE}" pid="7" name="MSIP_Label_dd181445-6ec4-4473-9810-00785f082df0_Method">
    <vt:lpwstr>Privileged</vt:lpwstr>
  </property>
  <property fmtid="{D5CDD505-2E9C-101B-9397-08002B2CF9AE}" pid="8" name="MSIP_Label_dd181445-6ec4-4473-9810-00785f082df0_Name">
    <vt:lpwstr>Internal</vt:lpwstr>
  </property>
  <property fmtid="{D5CDD505-2E9C-101B-9397-08002B2CF9AE}" pid="9" name="MSIP_Label_dd181445-6ec4-4473-9810-00785f082df0_SiteId">
    <vt:lpwstr>1771ae17-e764-4e0f-a476-d4184d79a5d9</vt:lpwstr>
  </property>
  <property fmtid="{D5CDD505-2E9C-101B-9397-08002B2CF9AE}" pid="10" name="MSIP_Label_dd181445-6ec4-4473-9810-00785f082df0_ActionId">
    <vt:lpwstr>64dc8f42-61fe-44a9-9357-c917627cee53</vt:lpwstr>
  </property>
  <property fmtid="{D5CDD505-2E9C-101B-9397-08002B2CF9AE}" pid="11" name="MSIP_Label_dd181445-6ec4-4473-9810-00785f082df0_ContentBits">
    <vt:lpwstr>0</vt:lpwstr>
  </property>
  <property fmtid="{D5CDD505-2E9C-101B-9397-08002B2CF9AE}" pid="12" name="MSIP_Label_e3e722ed-c191-47d1-af5e-8825a734f78e_Enabled">
    <vt:lpwstr>true</vt:lpwstr>
  </property>
  <property fmtid="{D5CDD505-2E9C-101B-9397-08002B2CF9AE}" pid="13" name="MSIP_Label_e3e722ed-c191-47d1-af5e-8825a734f78e_SetDate">
    <vt:lpwstr>2025-10-30T11:12:47Z</vt:lpwstr>
  </property>
  <property fmtid="{D5CDD505-2E9C-101B-9397-08002B2CF9AE}" pid="14" name="MSIP_Label_e3e722ed-c191-47d1-af5e-8825a734f78e_Method">
    <vt:lpwstr>Privileged</vt:lpwstr>
  </property>
  <property fmtid="{D5CDD505-2E9C-101B-9397-08002B2CF9AE}" pid="15" name="MSIP_Label_e3e722ed-c191-47d1-af5e-8825a734f78e_Name">
    <vt:lpwstr>Confidential - Deal Documents (IBD-GCM)</vt:lpwstr>
  </property>
  <property fmtid="{D5CDD505-2E9C-101B-9397-08002B2CF9AE}" pid="16" name="MSIP_Label_e3e722ed-c191-47d1-af5e-8825a734f78e_SiteId">
    <vt:lpwstr>e29b8111-49f8-418d-ac2a-935335a52614</vt:lpwstr>
  </property>
  <property fmtid="{D5CDD505-2E9C-101B-9397-08002B2CF9AE}" pid="17" name="MSIP_Label_e3e722ed-c191-47d1-af5e-8825a734f78e_ActionId">
    <vt:lpwstr>868c8bd7-eb8b-4a76-b5db-7cf039327ca4</vt:lpwstr>
  </property>
  <property fmtid="{D5CDD505-2E9C-101B-9397-08002B2CF9AE}" pid="18" name="MSIP_Label_e3e722ed-c191-47d1-af5e-8825a734f78e_ContentBits">
    <vt:lpwstr>0</vt:lpwstr>
  </property>
  <property fmtid="{D5CDD505-2E9C-101B-9397-08002B2CF9AE}" pid="19" name="MSIP_Label_e3e722ed-c191-47d1-af5e-8825a734f78e_Tag">
    <vt:lpwstr>10, 0, 1, 1</vt:lpwstr>
  </property>
  <property fmtid="{D5CDD505-2E9C-101B-9397-08002B2CF9AE}" pid="20" name="ContentTypeId">
    <vt:lpwstr>0x0101002730B1A3C01DAC40BCB4B6D946AB2892</vt:lpwstr>
  </property>
  <property fmtid="{D5CDD505-2E9C-101B-9397-08002B2CF9AE}" pid="21" name="MediaServiceImageTags">
    <vt:lpwstr/>
  </property>
  <property fmtid="{D5CDD505-2E9C-101B-9397-08002B2CF9AE}" pid="22" name="MSIP_Label_4a1cc303-c827-4bc8-8096-cfbe6c892f41_Enabled">
    <vt:lpwstr>true</vt:lpwstr>
  </property>
  <property fmtid="{D5CDD505-2E9C-101B-9397-08002B2CF9AE}" pid="23" name="MSIP_Label_4a1cc303-c827-4bc8-8096-cfbe6c892f41_SetDate">
    <vt:lpwstr>2025-12-08T16:12:59Z</vt:lpwstr>
  </property>
  <property fmtid="{D5CDD505-2E9C-101B-9397-08002B2CF9AE}" pid="24" name="MSIP_Label_4a1cc303-c827-4bc8-8096-cfbe6c892f41_Method">
    <vt:lpwstr>Standard</vt:lpwstr>
  </property>
  <property fmtid="{D5CDD505-2E9C-101B-9397-08002B2CF9AE}" pid="25" name="MSIP_Label_4a1cc303-c827-4bc8-8096-cfbe6c892f41_Name">
    <vt:lpwstr>Public</vt:lpwstr>
  </property>
  <property fmtid="{D5CDD505-2E9C-101B-9397-08002B2CF9AE}" pid="26" name="MSIP_Label_4a1cc303-c827-4bc8-8096-cfbe6c892f41_SiteId">
    <vt:lpwstr>2b0fc7ca-0745-42be-85de-e8eb8234033e</vt:lpwstr>
  </property>
  <property fmtid="{D5CDD505-2E9C-101B-9397-08002B2CF9AE}" pid="27" name="MSIP_Label_4a1cc303-c827-4bc8-8096-cfbe6c892f41_ActionId">
    <vt:lpwstr>79384900-4386-4beb-b255-04271431a459</vt:lpwstr>
  </property>
  <property fmtid="{D5CDD505-2E9C-101B-9397-08002B2CF9AE}" pid="28" name="MSIP_Label_4a1cc303-c827-4bc8-8096-cfbe6c892f41_ContentBits">
    <vt:lpwstr>0</vt:lpwstr>
  </property>
  <property fmtid="{D5CDD505-2E9C-101B-9397-08002B2CF9AE}" pid="29" name="MSIP_Label_4a1cc303-c827-4bc8-8096-cfbe6c892f41_Tag">
    <vt:lpwstr>10, 3, 0, 1</vt:lpwstr>
  </property>
</Properties>
</file>