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51021" w14:textId="77777777" w:rsidR="00B711B7" w:rsidRDefault="00B711B7" w:rsidP="002C61E3">
      <w:pPr>
        <w:rPr>
          <w:rFonts w:ascii="Segoe UI" w:eastAsia="Century Gothic" w:hAnsi="Segoe UI" w:cs="Segoe UI"/>
          <w:b/>
          <w:bCs/>
        </w:rPr>
      </w:pPr>
      <w:r w:rsidRPr="001801F7">
        <w:rPr>
          <w:rFonts w:ascii="Segoe UI" w:eastAsia="Century Gothic" w:hAnsi="Segoe UI" w:cs="Segoe UI"/>
          <w:b/>
          <w:bCs/>
        </w:rPr>
        <w:t>Athens, 2 March 2026</w:t>
      </w:r>
    </w:p>
    <w:p w14:paraId="47B17E5F" w14:textId="77777777" w:rsidR="001801F7" w:rsidRPr="001801F7" w:rsidRDefault="001801F7" w:rsidP="002C61E3">
      <w:pPr>
        <w:rPr>
          <w:rFonts w:ascii="Segoe UI" w:eastAsia="Century Gothic" w:hAnsi="Segoe UI" w:cs="Segoe UI"/>
          <w:b/>
          <w:bCs/>
        </w:rPr>
      </w:pPr>
    </w:p>
    <w:p w14:paraId="2E98A079" w14:textId="7895CACB" w:rsidR="00B711B7" w:rsidRPr="001801F7" w:rsidRDefault="00B711B7" w:rsidP="002C61E3">
      <w:pPr>
        <w:jc w:val="center"/>
        <w:rPr>
          <w:rFonts w:ascii="Segoe UI" w:eastAsia="Century Gothic" w:hAnsi="Segoe UI" w:cs="Segoe UI"/>
          <w:b/>
          <w:bCs/>
        </w:rPr>
      </w:pPr>
      <w:r w:rsidRPr="001801F7">
        <w:rPr>
          <w:rFonts w:ascii="Segoe UI" w:eastAsia="Century Gothic" w:hAnsi="Segoe UI" w:cs="Segoe UI"/>
          <w:b/>
          <w:bCs/>
        </w:rPr>
        <w:t xml:space="preserve">Five (5) investor </w:t>
      </w:r>
      <w:r w:rsidR="001801F7">
        <w:rPr>
          <w:rFonts w:ascii="Segoe UI" w:eastAsia="Century Gothic" w:hAnsi="Segoe UI" w:cs="Segoe UI"/>
          <w:b/>
          <w:bCs/>
        </w:rPr>
        <w:t>schemes</w:t>
      </w:r>
      <w:r w:rsidRPr="001801F7">
        <w:rPr>
          <w:rFonts w:ascii="Segoe UI" w:eastAsia="Century Gothic" w:hAnsi="Segoe UI" w:cs="Segoe UI"/>
          <w:b/>
          <w:bCs/>
        </w:rPr>
        <w:t xml:space="preserve"> express interest in the tender for the development </w:t>
      </w:r>
      <w:r w:rsidR="001801F7">
        <w:rPr>
          <w:rFonts w:ascii="Segoe UI" w:eastAsia="Century Gothic" w:hAnsi="Segoe UI" w:cs="Segoe UI"/>
          <w:b/>
          <w:bCs/>
        </w:rPr>
        <w:t xml:space="preserve">of </w:t>
      </w:r>
      <w:r w:rsidRPr="001801F7">
        <w:rPr>
          <w:rFonts w:ascii="Segoe UI" w:eastAsia="Century Gothic" w:hAnsi="Segoe UI" w:cs="Segoe UI"/>
          <w:b/>
          <w:bCs/>
        </w:rPr>
        <w:t xml:space="preserve">the former Tatoi royal estate </w:t>
      </w:r>
    </w:p>
    <w:p w14:paraId="30511DAC" w14:textId="77777777" w:rsidR="00B711B7" w:rsidRPr="001801F7" w:rsidRDefault="00B711B7" w:rsidP="00B711B7">
      <w:pPr>
        <w:jc w:val="both"/>
        <w:rPr>
          <w:rFonts w:ascii="Segoe UI" w:eastAsia="Century Gothic" w:hAnsi="Segoe UI" w:cs="Segoe UI"/>
        </w:rPr>
      </w:pPr>
    </w:p>
    <w:p w14:paraId="32EC0F8D" w14:textId="33E562F3" w:rsidR="00B711B7" w:rsidRPr="001801F7" w:rsidRDefault="00B711B7" w:rsidP="00B711B7">
      <w:pPr>
        <w:jc w:val="both"/>
        <w:rPr>
          <w:rFonts w:ascii="Segoe UI" w:eastAsia="Century Gothic" w:hAnsi="Segoe UI" w:cs="Segoe UI"/>
        </w:rPr>
      </w:pPr>
      <w:r w:rsidRPr="001801F7">
        <w:rPr>
          <w:rFonts w:ascii="Segoe UI" w:eastAsia="Century Gothic" w:hAnsi="Segoe UI" w:cs="Segoe UI"/>
        </w:rPr>
        <w:t xml:space="preserve">Growthfund announces that five (5) investor </w:t>
      </w:r>
      <w:r w:rsidR="001801F7">
        <w:rPr>
          <w:rFonts w:ascii="Segoe UI" w:eastAsia="Century Gothic" w:hAnsi="Segoe UI" w:cs="Segoe UI"/>
        </w:rPr>
        <w:t>schemes</w:t>
      </w:r>
      <w:r w:rsidRPr="001801F7">
        <w:rPr>
          <w:rFonts w:ascii="Segoe UI" w:eastAsia="Century Gothic" w:hAnsi="Segoe UI" w:cs="Segoe UI"/>
        </w:rPr>
        <w:t xml:space="preserve"> have expressed interest in the tender for a concession to reuse, develop, restore and operate buildings and grounds within the former royal estate of Tatoi.</w:t>
      </w:r>
    </w:p>
    <w:p w14:paraId="251D5350" w14:textId="77777777" w:rsidR="00B711B7" w:rsidRPr="001801F7" w:rsidRDefault="00B711B7" w:rsidP="00B711B7">
      <w:pPr>
        <w:jc w:val="both"/>
        <w:rPr>
          <w:rFonts w:ascii="Segoe UI" w:eastAsia="Century Gothic" w:hAnsi="Segoe UI" w:cs="Segoe UI"/>
        </w:rPr>
      </w:pPr>
    </w:p>
    <w:p w14:paraId="7111FBA7" w14:textId="6AA3D14D" w:rsidR="00B711B7" w:rsidRPr="001801F7" w:rsidRDefault="00B711B7" w:rsidP="00B711B7">
      <w:pPr>
        <w:jc w:val="both"/>
        <w:rPr>
          <w:rFonts w:ascii="Segoe UI" w:eastAsia="Century Gothic" w:hAnsi="Segoe UI" w:cs="Segoe UI"/>
        </w:rPr>
      </w:pPr>
      <w:r w:rsidRPr="001801F7">
        <w:rPr>
          <w:rFonts w:ascii="Segoe UI" w:eastAsia="Century Gothic" w:hAnsi="Segoe UI" w:cs="Segoe UI"/>
        </w:rPr>
        <w:t>The following parties expressed interest (in alphabetical order):</w:t>
      </w:r>
    </w:p>
    <w:p w14:paraId="59F01C78" w14:textId="77777777" w:rsidR="00B711B7" w:rsidRPr="001801F7" w:rsidRDefault="00B711B7" w:rsidP="00B711B7">
      <w:pPr>
        <w:jc w:val="both"/>
        <w:rPr>
          <w:rFonts w:ascii="Segoe UI" w:eastAsia="Century Gothic" w:hAnsi="Segoe UI" w:cs="Segoe UI"/>
        </w:rPr>
      </w:pPr>
    </w:p>
    <w:p w14:paraId="6B810986" w14:textId="77777777" w:rsidR="00B711B7" w:rsidRDefault="00B711B7" w:rsidP="00B711B7">
      <w:pPr>
        <w:numPr>
          <w:ilvl w:val="0"/>
          <w:numId w:val="1"/>
        </w:numPr>
        <w:jc w:val="both"/>
        <w:rPr>
          <w:rFonts w:ascii="Segoe UI" w:eastAsia="Century Gothic" w:hAnsi="Segoe UI" w:cs="Segoe UI"/>
        </w:rPr>
      </w:pPr>
      <w:r w:rsidRPr="001801F7">
        <w:rPr>
          <w:rFonts w:ascii="Segoe UI" w:eastAsia="Century Gothic" w:hAnsi="Segoe UI" w:cs="Segoe UI"/>
        </w:rPr>
        <w:t>AKTOR CONCESSIONS S.A.</w:t>
      </w:r>
    </w:p>
    <w:p w14:paraId="51B6BDFF" w14:textId="77777777" w:rsidR="001801F7" w:rsidRPr="001801F7" w:rsidRDefault="001801F7" w:rsidP="001801F7">
      <w:pPr>
        <w:numPr>
          <w:ilvl w:val="0"/>
          <w:numId w:val="1"/>
        </w:numPr>
        <w:jc w:val="both"/>
        <w:rPr>
          <w:rFonts w:ascii="Segoe UI" w:eastAsia="Century Gothic" w:hAnsi="Segoe UI" w:cs="Segoe UI"/>
        </w:rPr>
      </w:pPr>
      <w:r w:rsidRPr="001801F7">
        <w:rPr>
          <w:rFonts w:ascii="Segoe UI" w:eastAsia="Century Gothic" w:hAnsi="Segoe UI" w:cs="Segoe UI"/>
        </w:rPr>
        <w:t>DIMAND S.A.</w:t>
      </w:r>
    </w:p>
    <w:p w14:paraId="50574307" w14:textId="77777777" w:rsidR="00B711B7" w:rsidRDefault="00B711B7" w:rsidP="00B711B7">
      <w:pPr>
        <w:numPr>
          <w:ilvl w:val="0"/>
          <w:numId w:val="1"/>
        </w:numPr>
        <w:jc w:val="both"/>
        <w:rPr>
          <w:rFonts w:ascii="Segoe UI" w:eastAsia="Century Gothic" w:hAnsi="Segoe UI" w:cs="Segoe UI"/>
        </w:rPr>
      </w:pPr>
      <w:r w:rsidRPr="001801F7">
        <w:rPr>
          <w:rFonts w:ascii="Segoe UI" w:eastAsia="Century Gothic" w:hAnsi="Segoe UI" w:cs="Segoe UI"/>
        </w:rPr>
        <w:t>EKTER S.A.</w:t>
      </w:r>
    </w:p>
    <w:p w14:paraId="12E995E8" w14:textId="77777777" w:rsidR="001801F7" w:rsidRPr="001801F7" w:rsidRDefault="001801F7" w:rsidP="001801F7">
      <w:pPr>
        <w:numPr>
          <w:ilvl w:val="0"/>
          <w:numId w:val="1"/>
        </w:numPr>
        <w:jc w:val="both"/>
        <w:rPr>
          <w:rFonts w:ascii="Segoe UI" w:eastAsia="Century Gothic" w:hAnsi="Segoe UI" w:cs="Segoe UI"/>
        </w:rPr>
      </w:pPr>
      <w:r w:rsidRPr="001801F7">
        <w:rPr>
          <w:rFonts w:ascii="Segoe UI" w:eastAsia="Century Gothic" w:hAnsi="Segoe UI" w:cs="Segoe UI"/>
        </w:rPr>
        <w:t>ELIA CORPORATION S.A.</w:t>
      </w:r>
    </w:p>
    <w:p w14:paraId="4201D2F4" w14:textId="77777777" w:rsidR="00B711B7" w:rsidRPr="001801F7" w:rsidRDefault="00B711B7" w:rsidP="00B711B7">
      <w:pPr>
        <w:numPr>
          <w:ilvl w:val="0"/>
          <w:numId w:val="1"/>
        </w:numPr>
        <w:jc w:val="both"/>
        <w:rPr>
          <w:rFonts w:ascii="Segoe UI" w:eastAsia="Century Gothic" w:hAnsi="Segoe UI" w:cs="Segoe UI"/>
        </w:rPr>
      </w:pPr>
      <w:r w:rsidRPr="001801F7">
        <w:rPr>
          <w:rFonts w:ascii="Segoe UI" w:eastAsia="Century Gothic" w:hAnsi="Segoe UI" w:cs="Segoe UI"/>
        </w:rPr>
        <w:t>REINA HELLENIC PROPERTIES CAPITAL PARTNERS LTD.</w:t>
      </w:r>
    </w:p>
    <w:p w14:paraId="5B06A724" w14:textId="77777777" w:rsidR="00B711B7" w:rsidRPr="001801F7" w:rsidRDefault="00B711B7" w:rsidP="00B711B7">
      <w:pPr>
        <w:jc w:val="both"/>
        <w:rPr>
          <w:rFonts w:ascii="Segoe UI" w:eastAsia="Century Gothic" w:hAnsi="Segoe UI" w:cs="Segoe UI"/>
        </w:rPr>
      </w:pPr>
    </w:p>
    <w:p w14:paraId="2946FB61" w14:textId="77777777" w:rsidR="00B711B7" w:rsidRPr="001801F7" w:rsidRDefault="00B711B7" w:rsidP="00B711B7">
      <w:pPr>
        <w:jc w:val="both"/>
        <w:rPr>
          <w:rFonts w:ascii="Segoe UI" w:eastAsia="Century Gothic" w:hAnsi="Segoe UI" w:cs="Segoe UI"/>
        </w:rPr>
      </w:pPr>
      <w:r w:rsidRPr="001801F7">
        <w:rPr>
          <w:rFonts w:ascii="Segoe UI" w:eastAsia="Century Gothic" w:hAnsi="Segoe UI" w:cs="Segoe UI"/>
        </w:rPr>
        <w:t>Following the evaluation of the expressions of interest submitted in Phase A, candidates meeting the pre-qualification criteria will be invited to take part in Phase B of the tender, in which they will submit binding offers.</w:t>
      </w:r>
    </w:p>
    <w:p w14:paraId="23266FE9" w14:textId="77777777" w:rsidR="00B711B7" w:rsidRPr="001801F7" w:rsidRDefault="00B711B7" w:rsidP="00B711B7">
      <w:pPr>
        <w:jc w:val="both"/>
        <w:rPr>
          <w:rFonts w:ascii="Segoe UI" w:eastAsia="Century Gothic" w:hAnsi="Segoe UI" w:cs="Segoe UI"/>
        </w:rPr>
      </w:pPr>
    </w:p>
    <w:p w14:paraId="14A015EA" w14:textId="6E493C00" w:rsidR="00B711B7" w:rsidRPr="001801F7" w:rsidRDefault="00B711B7" w:rsidP="00B711B7">
      <w:pPr>
        <w:jc w:val="both"/>
        <w:rPr>
          <w:rFonts w:ascii="Segoe UI" w:eastAsia="Century Gothic" w:hAnsi="Segoe UI" w:cs="Segoe UI"/>
        </w:rPr>
      </w:pPr>
      <w:r w:rsidRPr="001801F7">
        <w:rPr>
          <w:rFonts w:ascii="Segoe UI" w:eastAsia="Century Gothic" w:hAnsi="Segoe UI" w:cs="Segoe UI"/>
        </w:rPr>
        <w:t xml:space="preserve">Growthfund’s Project Preparation Facility (PPF) has prepared and </w:t>
      </w:r>
      <w:r w:rsidR="001801F7">
        <w:rPr>
          <w:rFonts w:ascii="Segoe UI" w:eastAsia="Century Gothic" w:hAnsi="Segoe UI" w:cs="Segoe UI"/>
        </w:rPr>
        <w:t>is conducting</w:t>
      </w:r>
      <w:r w:rsidRPr="001801F7">
        <w:rPr>
          <w:rFonts w:ascii="Segoe UI" w:eastAsia="Century Gothic" w:hAnsi="Segoe UI" w:cs="Segoe UI"/>
        </w:rPr>
        <w:t xml:space="preserve"> the tender as Contracting Authority on behalf of the Ministry of Culture.</w:t>
      </w:r>
    </w:p>
    <w:p w14:paraId="5C75646F" w14:textId="77777777" w:rsidR="00B711B7" w:rsidRPr="001801F7" w:rsidRDefault="00B711B7" w:rsidP="00B711B7">
      <w:pPr>
        <w:jc w:val="both"/>
        <w:rPr>
          <w:rFonts w:ascii="Segoe UI" w:eastAsia="Century Gothic" w:hAnsi="Segoe UI" w:cs="Segoe UI"/>
        </w:rPr>
      </w:pPr>
    </w:p>
    <w:p w14:paraId="1E9AD988" w14:textId="77777777" w:rsidR="00B711B7" w:rsidRPr="001801F7" w:rsidRDefault="00B711B7" w:rsidP="00B711B7">
      <w:pPr>
        <w:jc w:val="both"/>
        <w:rPr>
          <w:rFonts w:ascii="Segoe UI" w:eastAsia="Century Gothic" w:hAnsi="Segoe UI" w:cs="Segoe UI"/>
        </w:rPr>
      </w:pPr>
      <w:r w:rsidRPr="001801F7">
        <w:rPr>
          <w:rFonts w:ascii="Segoe UI" w:eastAsia="Century Gothic" w:hAnsi="Segoe UI" w:cs="Segoe UI"/>
        </w:rPr>
        <w:t>The concession covers 24 buildings and their surrounding grounds within the historic site of the former Tatoi royal estate, with an emphasis on protecting the natural environment and preserving the site’s monumental character. Proposed uses include hospitality/hotels, restaurants, a greenhouse, a winery and other low-impact activities. Farmland may also be included, with the aim of reviving the estate’s agricultural character – for example, by restoring the vineyard and olive grove – in harmony with its natural environment and historic identity.</w:t>
      </w:r>
    </w:p>
    <w:p w14:paraId="3597FCC4" w14:textId="77777777" w:rsidR="00B711B7" w:rsidRPr="001801F7" w:rsidRDefault="00B711B7" w:rsidP="00B711B7">
      <w:pPr>
        <w:jc w:val="both"/>
        <w:rPr>
          <w:rFonts w:ascii="Segoe UI" w:eastAsia="Century Gothic" w:hAnsi="Segoe UI" w:cs="Segoe UI"/>
        </w:rPr>
      </w:pPr>
    </w:p>
    <w:p w14:paraId="22C8B42F" w14:textId="58954C22" w:rsidR="00B711B7" w:rsidRPr="001801F7" w:rsidRDefault="00B711B7" w:rsidP="00B711B7">
      <w:pPr>
        <w:jc w:val="both"/>
        <w:rPr>
          <w:rFonts w:ascii="Segoe UI" w:eastAsia="Century Gothic" w:hAnsi="Segoe UI" w:cs="Segoe UI"/>
        </w:rPr>
      </w:pPr>
      <w:r w:rsidRPr="001801F7">
        <w:rPr>
          <w:rFonts w:ascii="Segoe UI" w:eastAsia="Century Gothic" w:hAnsi="Segoe UI" w:cs="Segoe UI"/>
        </w:rPr>
        <w:t xml:space="preserve">The concession will run for at least sixty-five (65) years. Its exact duration and </w:t>
      </w:r>
      <w:r w:rsidR="001801F7">
        <w:rPr>
          <w:rFonts w:ascii="Segoe UI" w:eastAsia="Century Gothic" w:hAnsi="Segoe UI" w:cs="Segoe UI"/>
        </w:rPr>
        <w:t xml:space="preserve">terms </w:t>
      </w:r>
      <w:r w:rsidRPr="001801F7">
        <w:rPr>
          <w:rFonts w:ascii="Segoe UI" w:eastAsia="Century Gothic" w:hAnsi="Segoe UI" w:cs="Segoe UI"/>
        </w:rPr>
        <w:t>will be specified in Phase B of the tender.</w:t>
      </w:r>
    </w:p>
    <w:p w14:paraId="46AA70C6" w14:textId="77777777" w:rsidR="002C61E3" w:rsidRPr="00735DE0" w:rsidRDefault="002C61E3" w:rsidP="002C61E3">
      <w:pPr>
        <w:jc w:val="both"/>
        <w:rPr>
          <w:rFonts w:ascii="Segoe UI" w:eastAsia="Century Gothic" w:hAnsi="Segoe UI" w:cs="Segoe UI"/>
        </w:rPr>
      </w:pPr>
      <w:bookmarkStart w:id="0" w:name="_1jnrptm0y9t2" w:colFirst="0" w:colLast="0"/>
      <w:bookmarkEnd w:id="0"/>
    </w:p>
    <w:p w14:paraId="13B53699" w14:textId="77777777" w:rsidR="002C61E3" w:rsidRDefault="002C61E3" w:rsidP="002C61E3">
      <w:pPr>
        <w:jc w:val="both"/>
        <w:rPr>
          <w:rFonts w:ascii="Segoe UI" w:eastAsia="Century Gothic" w:hAnsi="Segoe UI" w:cs="Segoe UI"/>
          <w:b/>
          <w:bCs/>
          <w:i/>
          <w:iCs/>
          <w:sz w:val="16"/>
          <w:szCs w:val="16"/>
        </w:rPr>
      </w:pPr>
      <w:r w:rsidRPr="00744E37">
        <w:rPr>
          <w:rFonts w:ascii="Segoe UI" w:eastAsia="Century Gothic" w:hAnsi="Segoe UI" w:cs="Segoe UI"/>
          <w:b/>
          <w:bCs/>
          <w:i/>
          <w:iCs/>
          <w:sz w:val="16"/>
          <w:szCs w:val="16"/>
        </w:rPr>
        <w:t xml:space="preserve">For more information, please contact: </w:t>
      </w:r>
    </w:p>
    <w:p w14:paraId="29FC36D1" w14:textId="77777777" w:rsidR="002C61E3" w:rsidRPr="00DD5747" w:rsidRDefault="002C61E3" w:rsidP="002C61E3">
      <w:pPr>
        <w:spacing w:line="240" w:lineRule="auto"/>
        <w:jc w:val="both"/>
        <w:rPr>
          <w:rFonts w:ascii="Segoe UI" w:eastAsiaTheme="minorEastAsia" w:hAnsi="Segoe UI" w:cs="Segoe UI"/>
          <w:b/>
          <w:bCs/>
          <w:i/>
          <w:iCs/>
          <w:color w:val="000000"/>
          <w:sz w:val="16"/>
          <w:szCs w:val="16"/>
          <w:lang w:val="en-US" w:eastAsia="en-GB"/>
        </w:rPr>
      </w:pPr>
      <w:r w:rsidRPr="00DD5747">
        <w:rPr>
          <w:rFonts w:ascii="Segoe UI" w:eastAsiaTheme="minorEastAsia" w:hAnsi="Segoe UI" w:cs="Segoe UI"/>
          <w:b/>
          <w:bCs/>
          <w:i/>
          <w:iCs/>
          <w:color w:val="000000"/>
          <w:sz w:val="16"/>
          <w:szCs w:val="16"/>
          <w:lang w:val="en-US" w:eastAsia="en-GB"/>
        </w:rPr>
        <w:t>GROWTHFUND, Anthi Trokoudi, Director of Communications &amp; Sustainability,</w:t>
      </w:r>
      <w:r>
        <w:rPr>
          <w:rFonts w:ascii="Segoe UI" w:eastAsiaTheme="minorEastAsia" w:hAnsi="Segoe UI" w:cs="Segoe UI"/>
          <w:b/>
          <w:bCs/>
          <w:i/>
          <w:iCs/>
          <w:color w:val="000000"/>
          <w:sz w:val="16"/>
          <w:szCs w:val="16"/>
          <w:lang w:val="en-US" w:eastAsia="en-GB"/>
        </w:rPr>
        <w:t xml:space="preserve"> </w:t>
      </w:r>
      <w:r w:rsidRPr="00DD5747">
        <w:rPr>
          <w:rFonts w:ascii="Segoe UI" w:eastAsiaTheme="minorEastAsia" w:hAnsi="Segoe UI" w:cs="Segoe UI"/>
          <w:b/>
          <w:bCs/>
          <w:i/>
          <w:iCs/>
          <w:color w:val="000000"/>
          <w:sz w:val="16"/>
          <w:szCs w:val="16"/>
          <w:lang w:val="en-US" w:eastAsia="en-GB"/>
        </w:rPr>
        <w:t xml:space="preserve">+30 6932 100053, </w:t>
      </w:r>
      <w:hyperlink r:id="rId7">
        <w:r w:rsidRPr="00DD5747">
          <w:rPr>
            <w:rFonts w:ascii="Segoe UI" w:eastAsiaTheme="minorEastAsia" w:hAnsi="Segoe UI" w:cs="Segoe UI"/>
            <w:b/>
            <w:bCs/>
            <w:i/>
            <w:iCs/>
            <w:color w:val="000000"/>
            <w:sz w:val="16"/>
            <w:szCs w:val="16"/>
            <w:lang w:val="en-US" w:eastAsia="en-GB"/>
          </w:rPr>
          <w:t>A.Trokoudi@growthfund.gr</w:t>
        </w:r>
      </w:hyperlink>
      <w:r w:rsidRPr="00DD5747">
        <w:rPr>
          <w:rFonts w:ascii="Segoe UI" w:eastAsiaTheme="minorEastAsia" w:hAnsi="Segoe UI" w:cs="Segoe UI"/>
          <w:b/>
          <w:bCs/>
          <w:i/>
          <w:iCs/>
          <w:color w:val="000000"/>
          <w:sz w:val="16"/>
          <w:szCs w:val="16"/>
          <w:lang w:val="en-US" w:eastAsia="en-GB"/>
        </w:rPr>
        <w:t xml:space="preserve"> </w:t>
      </w:r>
    </w:p>
    <w:p w14:paraId="4BCFC259" w14:textId="77777777" w:rsidR="002C61E3" w:rsidRPr="002C61E3" w:rsidRDefault="002C61E3" w:rsidP="002C61E3">
      <w:pPr>
        <w:spacing w:line="240" w:lineRule="auto"/>
        <w:jc w:val="both"/>
        <w:rPr>
          <w:rFonts w:ascii="Segoe UI" w:eastAsiaTheme="minorEastAsia" w:hAnsi="Segoe UI" w:cs="Segoe UI"/>
          <w:b/>
          <w:bCs/>
          <w:i/>
          <w:iCs/>
          <w:color w:val="000000"/>
          <w:sz w:val="16"/>
          <w:szCs w:val="16"/>
          <w:lang w:val="en-US" w:eastAsia="en-GB"/>
        </w:rPr>
      </w:pPr>
      <w:r w:rsidRPr="002C61E3">
        <w:rPr>
          <w:rFonts w:ascii="Segoe UI" w:eastAsiaTheme="minorEastAsia" w:hAnsi="Segoe UI" w:cs="Segoe UI"/>
          <w:b/>
          <w:bCs/>
          <w:i/>
          <w:iCs/>
          <w:color w:val="000000"/>
          <w:sz w:val="16"/>
          <w:szCs w:val="16"/>
          <w:lang w:val="en-US" w:eastAsia="en-GB"/>
        </w:rPr>
        <w:t xml:space="preserve">SOCIALDOO, Konstantina Iliopoulou, Director of Corporate Relations, +30 6974 894411, </w:t>
      </w:r>
      <w:hyperlink r:id="rId8">
        <w:r w:rsidRPr="002C61E3">
          <w:rPr>
            <w:rFonts w:ascii="Segoe UI" w:eastAsiaTheme="minorEastAsia" w:hAnsi="Segoe UI" w:cs="Segoe UI"/>
            <w:b/>
            <w:bCs/>
            <w:i/>
            <w:iCs/>
            <w:color w:val="000000"/>
            <w:sz w:val="16"/>
            <w:szCs w:val="16"/>
            <w:lang w:val="en-US" w:eastAsia="en-GB"/>
          </w:rPr>
          <w:t>kiliopoulou@socialdoo.gr</w:t>
        </w:r>
      </w:hyperlink>
    </w:p>
    <w:p w14:paraId="69D5B5C0" w14:textId="77777777" w:rsidR="002C61E3" w:rsidRPr="002C61E3" w:rsidRDefault="002C61E3" w:rsidP="00B711B7">
      <w:pPr>
        <w:jc w:val="both"/>
        <w:rPr>
          <w:rFonts w:ascii="Segoe UI" w:eastAsia="Century Gothic" w:hAnsi="Segoe UI" w:cs="Segoe UI"/>
          <w:sz w:val="20"/>
          <w:szCs w:val="20"/>
          <w:lang w:val="en-US"/>
        </w:rPr>
      </w:pPr>
    </w:p>
    <w:p w14:paraId="5ADE3B69" w14:textId="77777777" w:rsidR="003F58E1" w:rsidRPr="002C61E3" w:rsidRDefault="003F58E1">
      <w:pPr>
        <w:rPr>
          <w:rFonts w:ascii="Segoe UI" w:hAnsi="Segoe UI" w:cs="Segoe UI"/>
          <w:sz w:val="20"/>
          <w:szCs w:val="20"/>
        </w:rPr>
      </w:pPr>
    </w:p>
    <w:sectPr w:rsidR="003F58E1" w:rsidRPr="002C61E3" w:rsidSect="003F58E1">
      <w:headerReference w:type="default" r:id="rId9"/>
      <w:pgSz w:w="11906" w:h="16838" w:code="9"/>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C2D45B" w14:textId="77777777" w:rsidR="000B4276" w:rsidRDefault="000B4276" w:rsidP="002C61E3">
      <w:pPr>
        <w:spacing w:line="240" w:lineRule="auto"/>
      </w:pPr>
      <w:r>
        <w:separator/>
      </w:r>
    </w:p>
  </w:endnote>
  <w:endnote w:type="continuationSeparator" w:id="0">
    <w:p w14:paraId="08319A8F" w14:textId="77777777" w:rsidR="000B4276" w:rsidRDefault="000B4276" w:rsidP="002C61E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A1"/>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761358" w14:textId="77777777" w:rsidR="000B4276" w:rsidRDefault="000B4276" w:rsidP="002C61E3">
      <w:pPr>
        <w:spacing w:line="240" w:lineRule="auto"/>
      </w:pPr>
      <w:r>
        <w:separator/>
      </w:r>
    </w:p>
  </w:footnote>
  <w:footnote w:type="continuationSeparator" w:id="0">
    <w:p w14:paraId="202DC7D6" w14:textId="77777777" w:rsidR="000B4276" w:rsidRDefault="000B4276" w:rsidP="002C61E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E5D3B" w14:textId="29BDB942" w:rsidR="002C61E3" w:rsidRDefault="002C61E3" w:rsidP="002C61E3">
    <w:pPr>
      <w:pStyle w:val="Header"/>
      <w:jc w:val="center"/>
    </w:pPr>
    <w:r>
      <w:rPr>
        <w:rFonts w:ascii="Segoe UI" w:hAnsi="Segoe UI" w:cs="Segoe UI"/>
        <w:b/>
        <w:bCs/>
        <w:noProof/>
        <w:lang w:val="en-US"/>
      </w:rPr>
      <w:drawing>
        <wp:inline distT="0" distB="0" distL="0" distR="0" wp14:anchorId="379F4D0B" wp14:editId="755B5FA8">
          <wp:extent cx="2561445" cy="450568"/>
          <wp:effectExtent l="0" t="0" r="0" b="6985"/>
          <wp:docPr id="1916276689" name="Picture 1" descr="A black background with blue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356780" name="Picture 1" descr="A black background with blue letters&#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03825" cy="458023"/>
                  </a:xfrm>
                  <a:prstGeom prst="rect">
                    <a:avLst/>
                  </a:prstGeom>
                  <a:noFill/>
                  <a:ln>
                    <a:noFill/>
                  </a:ln>
                </pic:spPr>
              </pic:pic>
            </a:graphicData>
          </a:graphic>
        </wp:inline>
      </w:drawing>
    </w:r>
  </w:p>
  <w:p w14:paraId="06B4C5A1" w14:textId="77777777" w:rsidR="002C61E3" w:rsidRDefault="002C61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8C0249"/>
    <w:multiLevelType w:val="multilevel"/>
    <w:tmpl w:val="A7086BE8"/>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37276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1B7"/>
    <w:rsid w:val="000B4276"/>
    <w:rsid w:val="0014187C"/>
    <w:rsid w:val="001801F7"/>
    <w:rsid w:val="002C61E3"/>
    <w:rsid w:val="003F58E1"/>
    <w:rsid w:val="005C7C31"/>
    <w:rsid w:val="00B711B7"/>
    <w:rsid w:val="00D26EE4"/>
    <w:rsid w:val="00DB7811"/>
    <w:rsid w:val="00F27A2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D7D95A"/>
  <w15:chartTrackingRefBased/>
  <w15:docId w15:val="{AC8E4035-A2F6-452E-A2E2-A7980BE14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11B7"/>
    <w:pPr>
      <w:spacing w:after="0" w:line="276" w:lineRule="auto"/>
    </w:pPr>
    <w:rPr>
      <w:rFonts w:ascii="Arial" w:eastAsia="Arial" w:hAnsi="Arial" w:cs="Arial"/>
      <w:kern w:val="0"/>
      <w:sz w:val="22"/>
      <w:szCs w:val="22"/>
      <w:lang w:val="en"/>
      <w14:ligatures w14:val="none"/>
    </w:rPr>
  </w:style>
  <w:style w:type="paragraph" w:styleId="Heading1">
    <w:name w:val="heading 1"/>
    <w:basedOn w:val="Normal"/>
    <w:next w:val="Normal"/>
    <w:link w:val="Heading1Char"/>
    <w:uiPriority w:val="9"/>
    <w:qFormat/>
    <w:rsid w:val="00B711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711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711B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711B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711B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1B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1B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1B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1B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11B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711B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711B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711B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711B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11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11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11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11B7"/>
    <w:rPr>
      <w:rFonts w:eastAsiaTheme="majorEastAsia" w:cstheme="majorBidi"/>
      <w:color w:val="272727" w:themeColor="text1" w:themeTint="D8"/>
    </w:rPr>
  </w:style>
  <w:style w:type="paragraph" w:styleId="Title">
    <w:name w:val="Title"/>
    <w:basedOn w:val="Normal"/>
    <w:next w:val="Normal"/>
    <w:link w:val="TitleChar"/>
    <w:uiPriority w:val="10"/>
    <w:qFormat/>
    <w:rsid w:val="00B711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11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11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11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1B7"/>
    <w:pPr>
      <w:spacing w:before="160"/>
      <w:jc w:val="center"/>
    </w:pPr>
    <w:rPr>
      <w:i/>
      <w:iCs/>
      <w:color w:val="404040" w:themeColor="text1" w:themeTint="BF"/>
    </w:rPr>
  </w:style>
  <w:style w:type="character" w:customStyle="1" w:styleId="QuoteChar">
    <w:name w:val="Quote Char"/>
    <w:basedOn w:val="DefaultParagraphFont"/>
    <w:link w:val="Quote"/>
    <w:uiPriority w:val="29"/>
    <w:rsid w:val="00B711B7"/>
    <w:rPr>
      <w:i/>
      <w:iCs/>
      <w:color w:val="404040" w:themeColor="text1" w:themeTint="BF"/>
    </w:rPr>
  </w:style>
  <w:style w:type="paragraph" w:styleId="ListParagraph">
    <w:name w:val="List Paragraph"/>
    <w:basedOn w:val="Normal"/>
    <w:uiPriority w:val="34"/>
    <w:qFormat/>
    <w:rsid w:val="00B711B7"/>
    <w:pPr>
      <w:ind w:left="720"/>
      <w:contextualSpacing/>
    </w:pPr>
  </w:style>
  <w:style w:type="character" w:styleId="IntenseEmphasis">
    <w:name w:val="Intense Emphasis"/>
    <w:basedOn w:val="DefaultParagraphFont"/>
    <w:uiPriority w:val="21"/>
    <w:qFormat/>
    <w:rsid w:val="00B711B7"/>
    <w:rPr>
      <w:i/>
      <w:iCs/>
      <w:color w:val="0F4761" w:themeColor="accent1" w:themeShade="BF"/>
    </w:rPr>
  </w:style>
  <w:style w:type="paragraph" w:styleId="IntenseQuote">
    <w:name w:val="Intense Quote"/>
    <w:basedOn w:val="Normal"/>
    <w:next w:val="Normal"/>
    <w:link w:val="IntenseQuoteChar"/>
    <w:uiPriority w:val="30"/>
    <w:qFormat/>
    <w:rsid w:val="00B711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11B7"/>
    <w:rPr>
      <w:i/>
      <w:iCs/>
      <w:color w:val="0F4761" w:themeColor="accent1" w:themeShade="BF"/>
    </w:rPr>
  </w:style>
  <w:style w:type="character" w:styleId="IntenseReference">
    <w:name w:val="Intense Reference"/>
    <w:basedOn w:val="DefaultParagraphFont"/>
    <w:uiPriority w:val="32"/>
    <w:qFormat/>
    <w:rsid w:val="00B711B7"/>
    <w:rPr>
      <w:b/>
      <w:bCs/>
      <w:smallCaps/>
      <w:color w:val="0F4761" w:themeColor="accent1" w:themeShade="BF"/>
      <w:spacing w:val="5"/>
    </w:rPr>
  </w:style>
  <w:style w:type="paragraph" w:styleId="Header">
    <w:name w:val="header"/>
    <w:basedOn w:val="Normal"/>
    <w:link w:val="HeaderChar"/>
    <w:uiPriority w:val="99"/>
    <w:unhideWhenUsed/>
    <w:rsid w:val="002C61E3"/>
    <w:pPr>
      <w:tabs>
        <w:tab w:val="center" w:pos="4320"/>
        <w:tab w:val="right" w:pos="8640"/>
      </w:tabs>
      <w:spacing w:line="240" w:lineRule="auto"/>
    </w:pPr>
  </w:style>
  <w:style w:type="character" w:customStyle="1" w:styleId="HeaderChar">
    <w:name w:val="Header Char"/>
    <w:basedOn w:val="DefaultParagraphFont"/>
    <w:link w:val="Header"/>
    <w:uiPriority w:val="99"/>
    <w:rsid w:val="002C61E3"/>
    <w:rPr>
      <w:rFonts w:ascii="Arial" w:eastAsia="Arial" w:hAnsi="Arial" w:cs="Arial"/>
      <w:kern w:val="0"/>
      <w:sz w:val="22"/>
      <w:szCs w:val="22"/>
      <w:lang w:val="en"/>
      <w14:ligatures w14:val="none"/>
    </w:rPr>
  </w:style>
  <w:style w:type="paragraph" w:styleId="Footer">
    <w:name w:val="footer"/>
    <w:basedOn w:val="Normal"/>
    <w:link w:val="FooterChar"/>
    <w:uiPriority w:val="99"/>
    <w:unhideWhenUsed/>
    <w:rsid w:val="002C61E3"/>
    <w:pPr>
      <w:tabs>
        <w:tab w:val="center" w:pos="4320"/>
        <w:tab w:val="right" w:pos="8640"/>
      </w:tabs>
      <w:spacing w:line="240" w:lineRule="auto"/>
    </w:pPr>
  </w:style>
  <w:style w:type="character" w:customStyle="1" w:styleId="FooterChar">
    <w:name w:val="Footer Char"/>
    <w:basedOn w:val="DefaultParagraphFont"/>
    <w:link w:val="Footer"/>
    <w:uiPriority w:val="99"/>
    <w:rsid w:val="002C61E3"/>
    <w:rPr>
      <w:rFonts w:ascii="Arial" w:eastAsia="Arial" w:hAnsi="Arial" w:cs="Arial"/>
      <w:kern w:val="0"/>
      <w:sz w:val="22"/>
      <w:szCs w:val="22"/>
      <w:lang w:val="e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iliopoulou@socialdoo.gr" TargetMode="External"/><Relationship Id="rId3" Type="http://schemas.openxmlformats.org/officeDocument/2006/relationships/settings" Target="settings.xml"/><Relationship Id="rId7" Type="http://schemas.openxmlformats.org/officeDocument/2006/relationships/hyperlink" Target="mailto:A.Trokoudi@growthfund.g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292</Words>
  <Characters>1670</Characters>
  <Application>Microsoft Office Word</Application>
  <DocSecurity>0</DocSecurity>
  <Lines>13</Lines>
  <Paragraphs>3</Paragraphs>
  <ScaleCrop>false</ScaleCrop>
  <Company/>
  <LinksUpToDate>false</LinksUpToDate>
  <CharactersWithSpaces>1959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Vicky Moulavasili</dc:creator>
  <cp:keywords/>
  <dc:description/>
  <cp:lastModifiedBy>Achilleas Topas</cp:lastModifiedBy>
  <cp:revision>2</cp:revision>
  <dcterms:created xsi:type="dcterms:W3CDTF">2026-10-27T15:36:00Z</dcterms:created>
  <dcterms:modified xsi:type="dcterms:W3CDTF">2026-10-27T15:36:00Z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a1cc303-c827-4bc8-8096-cfbe6c892f41_Enabled">
    <vt:lpwstr>true</vt:lpwstr>
  </property>
  <property fmtid="{D5CDD505-2E9C-101B-9397-08002B2CF9AE}" pid="3" name="MSIP_Label_4a1cc303-c827-4bc8-8096-cfbe6c892f41_SetDate">
    <vt:lpwstr>2026-10-27T15:36:57Z</vt:lpwstr>
  </property>
  <property fmtid="{D5CDD505-2E9C-101B-9397-08002B2CF9AE}" pid="4" name="MSIP_Label_4a1cc303-c827-4bc8-8096-cfbe6c892f41_Method">
    <vt:lpwstr>Standard</vt:lpwstr>
  </property>
  <property fmtid="{D5CDD505-2E9C-101B-9397-08002B2CF9AE}" pid="5" name="MSIP_Label_4a1cc303-c827-4bc8-8096-cfbe6c892f41_Name">
    <vt:lpwstr>Public</vt:lpwstr>
  </property>
  <property fmtid="{D5CDD505-2E9C-101B-9397-08002B2CF9AE}" pid="6" name="MSIP_Label_4a1cc303-c827-4bc8-8096-cfbe6c892f41_SiteId">
    <vt:lpwstr>2b0fc7ca-0745-42be-85de-e8eb8234033e</vt:lpwstr>
  </property>
  <property fmtid="{D5CDD505-2E9C-101B-9397-08002B2CF9AE}" pid="7" name="MSIP_Label_4a1cc303-c827-4bc8-8096-cfbe6c892f41_ActionId">
    <vt:lpwstr>a5cd2ae5-e5a2-45ab-970c-ad8346ff1f41</vt:lpwstr>
  </property>
  <property fmtid="{D5CDD505-2E9C-101B-9397-08002B2CF9AE}" pid="8" name="MSIP_Label_4a1cc303-c827-4bc8-8096-cfbe6c892f41_ContentBits">
    <vt:lpwstr>0</vt:lpwstr>
  </property>
  <property fmtid="{D5CDD505-2E9C-101B-9397-08002B2CF9AE}" pid="9" name="MSIP_Label_4a1cc303-c827-4bc8-8096-cfbe6c892f41_Tag">
    <vt:lpwstr>10, 3, 0, 1</vt:lpwstr>
  </property>
</Properties>
</file>