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C7467" w14:textId="3ED58D6E" w:rsidR="00D77701" w:rsidRPr="00766AB1" w:rsidRDefault="00E74545" w:rsidP="00D77701">
      <w:pPr>
        <w:rPr>
          <w:rFonts w:ascii="Segoe UI" w:eastAsia="Century Gothic" w:hAnsi="Segoe UI" w:cs="Segoe UI"/>
          <w:b/>
          <w:bCs/>
        </w:rPr>
      </w:pPr>
      <w:r w:rsidRPr="00766AB1">
        <w:rPr>
          <w:rFonts w:ascii="Segoe UI" w:eastAsia="Century Gothic" w:hAnsi="Segoe UI" w:cs="Segoe UI"/>
          <w:b/>
          <w:bCs/>
        </w:rPr>
        <w:t xml:space="preserve">Athens, </w:t>
      </w:r>
      <w:r w:rsidR="003B3AC4">
        <w:rPr>
          <w:rFonts w:ascii="Segoe UI" w:eastAsia="Century Gothic" w:hAnsi="Segoe UI" w:cs="Segoe UI"/>
          <w:b/>
          <w:bCs/>
        </w:rPr>
        <w:t>3</w:t>
      </w:r>
      <w:r w:rsidRPr="00766AB1">
        <w:rPr>
          <w:rFonts w:ascii="Segoe UI" w:eastAsia="Century Gothic" w:hAnsi="Segoe UI" w:cs="Segoe UI"/>
          <w:b/>
          <w:bCs/>
        </w:rPr>
        <w:t xml:space="preserve"> March 2026</w:t>
      </w:r>
    </w:p>
    <w:p w14:paraId="6CE48BD0" w14:textId="3067AE7C" w:rsidR="00E74545" w:rsidRPr="00766AB1" w:rsidRDefault="00E74545" w:rsidP="00D77701">
      <w:pPr>
        <w:jc w:val="center"/>
        <w:rPr>
          <w:rFonts w:ascii="Segoe UI" w:eastAsia="Century Gothic" w:hAnsi="Segoe UI" w:cs="Segoe UI"/>
          <w:b/>
          <w:bCs/>
        </w:rPr>
      </w:pPr>
      <w:r w:rsidRPr="00766AB1">
        <w:rPr>
          <w:rFonts w:ascii="Segoe UI" w:eastAsia="Century Gothic" w:hAnsi="Segoe UI" w:cs="Segoe UI"/>
          <w:b/>
          <w:bCs/>
          <w:lang w:val="en-US"/>
        </w:rPr>
        <w:br/>
      </w:r>
      <w:r w:rsidRPr="00766AB1">
        <w:rPr>
          <w:rFonts w:ascii="Segoe UI" w:eastAsia="Century Gothic" w:hAnsi="Segoe UI" w:cs="Segoe UI"/>
          <w:b/>
          <w:bCs/>
        </w:rPr>
        <w:t xml:space="preserve">Growthfund announces that nine (9) investor </w:t>
      </w:r>
      <w:r w:rsidR="00F87C1B">
        <w:rPr>
          <w:rFonts w:ascii="Segoe UI" w:eastAsia="Century Gothic" w:hAnsi="Segoe UI" w:cs="Segoe UI"/>
          <w:b/>
          <w:bCs/>
        </w:rPr>
        <w:t>schemes</w:t>
      </w:r>
      <w:r w:rsidRPr="00766AB1">
        <w:rPr>
          <w:rFonts w:ascii="Segoe UI" w:eastAsia="Century Gothic" w:hAnsi="Segoe UI" w:cs="Segoe UI"/>
          <w:b/>
          <w:bCs/>
        </w:rPr>
        <w:t xml:space="preserve"> have expressed interest in the tender for the acquisition of a majority stake (at least 51%) in the share capital of HELLENIC SALTWORKS S.A.</w:t>
      </w:r>
    </w:p>
    <w:p w14:paraId="16D4AA05" w14:textId="77777777" w:rsidR="00E74545" w:rsidRPr="00766AB1" w:rsidRDefault="00E74545" w:rsidP="00E74545">
      <w:pPr>
        <w:jc w:val="both"/>
        <w:rPr>
          <w:rFonts w:ascii="Segoe UI" w:eastAsia="Century Gothic" w:hAnsi="Segoe UI" w:cs="Segoe UI"/>
        </w:rPr>
      </w:pPr>
    </w:p>
    <w:p w14:paraId="778B343D" w14:textId="77777777" w:rsidR="00E74545" w:rsidRPr="00766AB1" w:rsidRDefault="00E74545" w:rsidP="00E74545">
      <w:pPr>
        <w:jc w:val="both"/>
        <w:rPr>
          <w:rFonts w:ascii="Segoe UI" w:eastAsia="Century Gothic" w:hAnsi="Segoe UI" w:cs="Segoe UI"/>
        </w:rPr>
      </w:pPr>
      <w:r w:rsidRPr="00766AB1">
        <w:rPr>
          <w:rFonts w:ascii="Segoe UI" w:eastAsia="Century Gothic" w:hAnsi="Segoe UI" w:cs="Segoe UI"/>
        </w:rPr>
        <w:t>The following parties expressed interest (in alphabetical order of the Greek original):</w:t>
      </w:r>
    </w:p>
    <w:p w14:paraId="326011BB" w14:textId="77777777" w:rsidR="00E74545" w:rsidRPr="00766AB1" w:rsidRDefault="00E74545" w:rsidP="00E74545">
      <w:pPr>
        <w:jc w:val="both"/>
        <w:rPr>
          <w:rFonts w:ascii="Segoe UI" w:eastAsia="Century Gothic" w:hAnsi="Segoe UI" w:cs="Segoe UI"/>
        </w:rPr>
      </w:pPr>
    </w:p>
    <w:p w14:paraId="2A94F94B" w14:textId="77777777" w:rsidR="00E74545" w:rsidRPr="00766AB1" w:rsidRDefault="00E74545" w:rsidP="00E74545">
      <w:pPr>
        <w:numPr>
          <w:ilvl w:val="0"/>
          <w:numId w:val="1"/>
        </w:numPr>
        <w:jc w:val="both"/>
        <w:rPr>
          <w:rFonts w:ascii="Segoe UI" w:eastAsia="Century Gothic" w:hAnsi="Segoe UI" w:cs="Segoe UI"/>
        </w:rPr>
      </w:pPr>
      <w:r w:rsidRPr="00766AB1">
        <w:rPr>
          <w:rFonts w:ascii="Segoe UI" w:eastAsia="Century Gothic" w:hAnsi="Segoe UI" w:cs="Segoe UI"/>
        </w:rPr>
        <w:t>Consortium M.P. THEODOROU (SALT INDUSTRY) &amp; CO LTD – SALINITY GROUP AB</w:t>
      </w:r>
    </w:p>
    <w:p w14:paraId="302C7B3A" w14:textId="77777777" w:rsidR="00E74545" w:rsidRPr="00766AB1" w:rsidRDefault="00E74545" w:rsidP="00E74545">
      <w:pPr>
        <w:numPr>
          <w:ilvl w:val="0"/>
          <w:numId w:val="1"/>
        </w:numPr>
        <w:jc w:val="both"/>
        <w:rPr>
          <w:rFonts w:ascii="Segoe UI" w:eastAsia="Century Gothic" w:hAnsi="Segoe UI" w:cs="Segoe UI"/>
        </w:rPr>
      </w:pPr>
      <w:r w:rsidRPr="00766AB1">
        <w:rPr>
          <w:rFonts w:ascii="Segoe UI" w:eastAsia="Century Gothic" w:hAnsi="Segoe UI" w:cs="Segoe UI"/>
        </w:rPr>
        <w:t>K.E. KALAMARAKIS S.A. – KALAS S.A.</w:t>
      </w:r>
    </w:p>
    <w:p w14:paraId="358036C3" w14:textId="77777777" w:rsidR="00E74545" w:rsidRPr="00766AB1" w:rsidRDefault="00E74545" w:rsidP="00E74545">
      <w:pPr>
        <w:numPr>
          <w:ilvl w:val="0"/>
          <w:numId w:val="1"/>
        </w:numPr>
        <w:jc w:val="both"/>
        <w:rPr>
          <w:rFonts w:ascii="Segoe UI" w:eastAsia="Century Gothic" w:hAnsi="Segoe UI" w:cs="Segoe UI"/>
        </w:rPr>
      </w:pPr>
      <w:r w:rsidRPr="00766AB1">
        <w:rPr>
          <w:rFonts w:ascii="Segoe UI" w:eastAsia="Century Gothic" w:hAnsi="Segoe UI" w:cs="Segoe UI"/>
        </w:rPr>
        <w:t>Consortium VARNAS IOANNIS S.A. (beverages) – MANOLAKOUDIS S.A. (bakery products)</w:t>
      </w:r>
    </w:p>
    <w:p w14:paraId="12C1B6C0" w14:textId="77777777" w:rsidR="00E74545" w:rsidRPr="00766AB1" w:rsidRDefault="00E74545" w:rsidP="00E74545">
      <w:pPr>
        <w:numPr>
          <w:ilvl w:val="0"/>
          <w:numId w:val="1"/>
        </w:numPr>
        <w:jc w:val="both"/>
        <w:rPr>
          <w:rFonts w:ascii="Segoe UI" w:eastAsia="Century Gothic" w:hAnsi="Segoe UI" w:cs="Segoe UI"/>
        </w:rPr>
      </w:pPr>
      <w:r w:rsidRPr="00766AB1">
        <w:rPr>
          <w:rFonts w:ascii="Segoe UI" w:eastAsia="Century Gothic" w:hAnsi="Segoe UI" w:cs="Segoe UI"/>
        </w:rPr>
        <w:t>Consortium PITSIAS S.A. – KONSTANTOPOULOS S.A.</w:t>
      </w:r>
    </w:p>
    <w:p w14:paraId="2C8CAA69" w14:textId="77777777" w:rsidR="00E74545" w:rsidRPr="00766AB1" w:rsidRDefault="00E74545" w:rsidP="00E74545">
      <w:pPr>
        <w:numPr>
          <w:ilvl w:val="0"/>
          <w:numId w:val="1"/>
        </w:numPr>
        <w:jc w:val="both"/>
        <w:rPr>
          <w:rFonts w:ascii="Segoe UI" w:eastAsia="Century Gothic" w:hAnsi="Segoe UI" w:cs="Segoe UI"/>
        </w:rPr>
      </w:pPr>
      <w:r w:rsidRPr="00766AB1">
        <w:rPr>
          <w:rFonts w:ascii="Segoe UI" w:eastAsia="Century Gothic" w:hAnsi="Segoe UI" w:cs="Segoe UI"/>
        </w:rPr>
        <w:t>Consortium SIF – ARTEMAR</w:t>
      </w:r>
    </w:p>
    <w:p w14:paraId="2B723CA3" w14:textId="77777777" w:rsidR="00E74545" w:rsidRPr="00766AB1" w:rsidRDefault="00E74545" w:rsidP="00E74545">
      <w:pPr>
        <w:numPr>
          <w:ilvl w:val="0"/>
          <w:numId w:val="1"/>
        </w:numPr>
        <w:jc w:val="both"/>
        <w:rPr>
          <w:rFonts w:ascii="Segoe UI" w:eastAsia="Century Gothic" w:hAnsi="Segoe UI" w:cs="Segoe UI"/>
        </w:rPr>
      </w:pPr>
      <w:r w:rsidRPr="00766AB1">
        <w:rPr>
          <w:rFonts w:ascii="Segoe UI" w:eastAsia="Century Gothic" w:hAnsi="Segoe UI" w:cs="Segoe UI"/>
        </w:rPr>
        <w:t>Consortium UNISEL SAS – CHION S.A.</w:t>
      </w:r>
    </w:p>
    <w:p w14:paraId="588CFF6C" w14:textId="77777777" w:rsidR="00E74545" w:rsidRPr="00766AB1" w:rsidRDefault="00E74545" w:rsidP="00E74545">
      <w:pPr>
        <w:numPr>
          <w:ilvl w:val="0"/>
          <w:numId w:val="1"/>
        </w:numPr>
        <w:jc w:val="both"/>
        <w:rPr>
          <w:rFonts w:ascii="Segoe UI" w:eastAsia="Century Gothic" w:hAnsi="Segoe UI" w:cs="Segoe UI"/>
        </w:rPr>
      </w:pPr>
      <w:r w:rsidRPr="00766AB1">
        <w:rPr>
          <w:rFonts w:ascii="Segoe UI" w:eastAsia="Century Gothic" w:hAnsi="Segoe UI" w:cs="Segoe UI"/>
        </w:rPr>
        <w:t>MANTIS TRADING S.A.</w:t>
      </w:r>
    </w:p>
    <w:p w14:paraId="342FB3A4" w14:textId="77777777" w:rsidR="00E74545" w:rsidRPr="00766AB1" w:rsidRDefault="00E74545" w:rsidP="00E74545">
      <w:pPr>
        <w:numPr>
          <w:ilvl w:val="0"/>
          <w:numId w:val="1"/>
        </w:numPr>
        <w:jc w:val="both"/>
        <w:rPr>
          <w:rFonts w:ascii="Segoe UI" w:eastAsia="Century Gothic" w:hAnsi="Segoe UI" w:cs="Segoe UI"/>
        </w:rPr>
      </w:pPr>
      <w:r w:rsidRPr="00766AB1">
        <w:rPr>
          <w:rFonts w:ascii="Segoe UI" w:eastAsia="Century Gothic" w:hAnsi="Segoe UI" w:cs="Segoe UI"/>
        </w:rPr>
        <w:t>MECCANICA GROUP S.A. (construction, environmental management and services)</w:t>
      </w:r>
    </w:p>
    <w:p w14:paraId="250B7984" w14:textId="77777777" w:rsidR="00E74545" w:rsidRPr="00766AB1" w:rsidRDefault="00E74545" w:rsidP="00E74545">
      <w:pPr>
        <w:numPr>
          <w:ilvl w:val="0"/>
          <w:numId w:val="1"/>
        </w:numPr>
        <w:jc w:val="both"/>
        <w:rPr>
          <w:rFonts w:ascii="Segoe UI" w:eastAsia="Century Gothic" w:hAnsi="Segoe UI" w:cs="Segoe UI"/>
        </w:rPr>
      </w:pPr>
      <w:r w:rsidRPr="00766AB1">
        <w:rPr>
          <w:rFonts w:ascii="Segoe UI" w:eastAsia="Century Gothic" w:hAnsi="Segoe UI" w:cs="Segoe UI"/>
        </w:rPr>
        <w:t>SOSALT S.p.A.</w:t>
      </w:r>
    </w:p>
    <w:p w14:paraId="444175C0" w14:textId="77777777" w:rsidR="00E74545" w:rsidRPr="00766AB1" w:rsidRDefault="00E74545" w:rsidP="00E74545">
      <w:pPr>
        <w:jc w:val="both"/>
        <w:rPr>
          <w:rFonts w:ascii="Segoe UI" w:eastAsia="Century Gothic" w:hAnsi="Segoe UI" w:cs="Segoe UI"/>
        </w:rPr>
      </w:pPr>
    </w:p>
    <w:p w14:paraId="1E4F1474" w14:textId="77777777" w:rsidR="00E74545" w:rsidRPr="00766AB1" w:rsidRDefault="00E74545" w:rsidP="00E74545">
      <w:pPr>
        <w:jc w:val="both"/>
        <w:rPr>
          <w:rFonts w:ascii="Segoe UI" w:eastAsia="Century Gothic" w:hAnsi="Segoe UI" w:cs="Segoe UI"/>
        </w:rPr>
      </w:pPr>
      <w:r w:rsidRPr="00766AB1">
        <w:rPr>
          <w:rFonts w:ascii="Segoe UI" w:eastAsia="Century Gothic" w:hAnsi="Segoe UI" w:cs="Segoe UI"/>
        </w:rPr>
        <w:t>Following the evaluation of the expressions of interest, candidates meeting the pre-qualification criteria will be invited to take part in Phase B of the tender, in which the shortlisted investors will submit binding offers.</w:t>
      </w:r>
    </w:p>
    <w:p w14:paraId="5AD0677A" w14:textId="77777777" w:rsidR="00E74545" w:rsidRPr="00766AB1" w:rsidRDefault="00E74545" w:rsidP="00E74545">
      <w:pPr>
        <w:jc w:val="both"/>
        <w:rPr>
          <w:rFonts w:ascii="Segoe UI" w:eastAsia="Century Gothic" w:hAnsi="Segoe UI" w:cs="Segoe UI"/>
        </w:rPr>
      </w:pPr>
    </w:p>
    <w:p w14:paraId="081E9C26" w14:textId="77777777" w:rsidR="00E74545" w:rsidRPr="00766AB1" w:rsidRDefault="00E74545" w:rsidP="00E74545">
      <w:pPr>
        <w:jc w:val="both"/>
        <w:rPr>
          <w:rFonts w:ascii="Segoe UI" w:eastAsia="Century Gothic" w:hAnsi="Segoe UI" w:cs="Segoe UI"/>
        </w:rPr>
      </w:pPr>
      <w:r w:rsidRPr="00766AB1">
        <w:rPr>
          <w:rFonts w:ascii="Segoe UI" w:eastAsia="Century Gothic" w:hAnsi="Segoe UI" w:cs="Segoe UI"/>
        </w:rPr>
        <w:t>The entry of a strategic investor into the share capital of HELLENIC SALTWORKS S.A. aims to strengthen the company’s growth prospects and international reach, make more effective use of its natural resources and improve its operations to the benefit of both the local and the national economy. A leader in natural salt production, HELLENIC SALTWORKS S.A. is the main supplier to the domestic market and one of the most important producers in the wider Mediterranean region. This strategic move is intended to transform a dynamic public company into a European “champion” in salt production, with greater competitiveness, modern infrastructure and strong growth prospects.</w:t>
      </w:r>
    </w:p>
    <w:p w14:paraId="195915B4" w14:textId="77777777" w:rsidR="00E74545" w:rsidRPr="00766AB1" w:rsidRDefault="00E74545" w:rsidP="00E74545">
      <w:pPr>
        <w:jc w:val="both"/>
        <w:rPr>
          <w:rFonts w:ascii="Segoe UI" w:eastAsia="Century Gothic" w:hAnsi="Segoe UI" w:cs="Segoe UI"/>
        </w:rPr>
      </w:pPr>
    </w:p>
    <w:p w14:paraId="09A26134" w14:textId="77777777" w:rsidR="00E74545" w:rsidRPr="00766AB1" w:rsidRDefault="00E74545" w:rsidP="00E74545">
      <w:pPr>
        <w:jc w:val="both"/>
        <w:rPr>
          <w:rFonts w:ascii="Segoe UI" w:eastAsia="Century Gothic" w:hAnsi="Segoe UI" w:cs="Segoe UI"/>
        </w:rPr>
      </w:pPr>
      <w:r w:rsidRPr="00766AB1">
        <w:rPr>
          <w:rFonts w:ascii="Segoe UI" w:eastAsia="Century Gothic" w:hAnsi="Segoe UI" w:cs="Segoe UI"/>
        </w:rPr>
        <w:t>Growthfund’s main objective is to maximize the financial consideration and secure the most suitable way of developing the company for the benefit of the Greek economy. The preferred investor will be selected on the basis of the most economically advantageous offer, as will be specified in Phase B of the tender.</w:t>
      </w:r>
    </w:p>
    <w:p w14:paraId="3577ADF5" w14:textId="77777777" w:rsidR="00E74545" w:rsidRPr="00766AB1" w:rsidRDefault="00E74545" w:rsidP="00E74545">
      <w:pPr>
        <w:jc w:val="both"/>
        <w:rPr>
          <w:rFonts w:ascii="Segoe UI" w:eastAsia="Century Gothic" w:hAnsi="Segoe UI" w:cs="Segoe UI"/>
        </w:rPr>
      </w:pPr>
    </w:p>
    <w:p w14:paraId="4B594DF8" w14:textId="77777777" w:rsidR="00E74545" w:rsidRPr="00766AB1" w:rsidRDefault="00E74545" w:rsidP="00E74545">
      <w:pPr>
        <w:jc w:val="both"/>
        <w:rPr>
          <w:rFonts w:ascii="Segoe UI" w:eastAsia="Century Gothic" w:hAnsi="Segoe UI" w:cs="Segoe UI"/>
        </w:rPr>
      </w:pPr>
      <w:r w:rsidRPr="00766AB1">
        <w:rPr>
          <w:rFonts w:ascii="Segoe UI" w:eastAsia="Century Gothic" w:hAnsi="Segoe UI" w:cs="Segoe UI"/>
        </w:rPr>
        <w:lastRenderedPageBreak/>
        <w:t>Growthfund holds 80% of the company’s shares. The remaining 20% belongs to the municipalities in which the operating saltworks granted to the company for use and operation are located, with the largest stakes held by the municipalities of Mesolongi (10.19%), Pydna-Kolindros (3.18%) and West Lesvos (3.13%).</w:t>
      </w:r>
    </w:p>
    <w:p w14:paraId="3C110540" w14:textId="77777777" w:rsidR="00E74545" w:rsidRPr="00766AB1" w:rsidRDefault="00E74545" w:rsidP="00E74545">
      <w:pPr>
        <w:jc w:val="both"/>
        <w:rPr>
          <w:rFonts w:ascii="Segoe UI" w:eastAsia="Century Gothic" w:hAnsi="Segoe UI" w:cs="Segoe UI"/>
        </w:rPr>
      </w:pPr>
    </w:p>
    <w:p w14:paraId="4C5B9CBD" w14:textId="77777777" w:rsidR="00167E65" w:rsidRDefault="00E74545" w:rsidP="00E74545">
      <w:pPr>
        <w:jc w:val="both"/>
        <w:rPr>
          <w:rFonts w:ascii="Segoe UI" w:eastAsia="Century Gothic" w:hAnsi="Segoe UI" w:cs="Segoe UI"/>
          <w:b/>
          <w:bCs/>
          <w:i/>
          <w:iCs/>
          <w:sz w:val="16"/>
          <w:szCs w:val="16"/>
        </w:rPr>
      </w:pPr>
      <w:r w:rsidRPr="00167E65">
        <w:rPr>
          <w:rFonts w:ascii="Segoe UI" w:eastAsia="Century Gothic" w:hAnsi="Segoe UI" w:cs="Segoe UI"/>
          <w:b/>
          <w:bCs/>
          <w:i/>
          <w:iCs/>
          <w:sz w:val="16"/>
          <w:szCs w:val="16"/>
        </w:rPr>
        <w:t xml:space="preserve">For more information, please contact: </w:t>
      </w:r>
    </w:p>
    <w:p w14:paraId="0F3ADDBC" w14:textId="77777777" w:rsidR="00167E65" w:rsidRDefault="00E74545" w:rsidP="00E74545">
      <w:pPr>
        <w:jc w:val="both"/>
        <w:rPr>
          <w:rFonts w:ascii="Segoe UI" w:eastAsia="Century Gothic" w:hAnsi="Segoe UI" w:cs="Segoe UI"/>
          <w:b/>
          <w:bCs/>
          <w:i/>
          <w:iCs/>
          <w:sz w:val="16"/>
          <w:szCs w:val="16"/>
        </w:rPr>
      </w:pPr>
      <w:r w:rsidRPr="00167E65">
        <w:rPr>
          <w:rFonts w:ascii="Segoe UI" w:eastAsia="Century Gothic" w:hAnsi="Segoe UI" w:cs="Segoe UI"/>
          <w:b/>
          <w:bCs/>
          <w:i/>
          <w:iCs/>
          <w:sz w:val="16"/>
          <w:szCs w:val="16"/>
        </w:rPr>
        <w:t xml:space="preserve">GROWTHFUND, Anthi Trokoudi, Director of Communications &amp; Sustainability, +30 6932 100053, </w:t>
      </w:r>
      <w:hyperlink r:id="rId7">
        <w:r w:rsidRPr="00167E65">
          <w:rPr>
            <w:rFonts w:ascii="Segoe UI" w:eastAsia="Century Gothic" w:hAnsi="Segoe UI" w:cs="Segoe UI"/>
            <w:b/>
            <w:bCs/>
            <w:i/>
            <w:iCs/>
            <w:color w:val="1155CC"/>
            <w:sz w:val="16"/>
            <w:szCs w:val="16"/>
            <w:u w:val="single"/>
          </w:rPr>
          <w:t>A.Trokoudi@growthfund.gr</w:t>
        </w:r>
      </w:hyperlink>
      <w:r w:rsidRPr="00167E65">
        <w:rPr>
          <w:rFonts w:ascii="Segoe UI" w:eastAsia="Century Gothic" w:hAnsi="Segoe UI" w:cs="Segoe UI"/>
          <w:b/>
          <w:bCs/>
          <w:i/>
          <w:iCs/>
          <w:sz w:val="16"/>
          <w:szCs w:val="16"/>
        </w:rPr>
        <w:t xml:space="preserve"> </w:t>
      </w:r>
    </w:p>
    <w:p w14:paraId="303B3A18" w14:textId="60594026" w:rsidR="003F58E1" w:rsidRPr="00167E65" w:rsidRDefault="00E74545" w:rsidP="00167E65">
      <w:pPr>
        <w:jc w:val="both"/>
        <w:rPr>
          <w:rFonts w:ascii="Segoe UI" w:eastAsia="Century Gothic" w:hAnsi="Segoe UI" w:cs="Segoe UI"/>
          <w:b/>
          <w:bCs/>
          <w:i/>
          <w:iCs/>
          <w:sz w:val="16"/>
          <w:szCs w:val="16"/>
        </w:rPr>
      </w:pPr>
      <w:r w:rsidRPr="00167E65">
        <w:rPr>
          <w:rFonts w:ascii="Segoe UI" w:eastAsia="Century Gothic" w:hAnsi="Segoe UI" w:cs="Segoe UI"/>
          <w:b/>
          <w:bCs/>
          <w:i/>
          <w:iCs/>
          <w:sz w:val="16"/>
          <w:szCs w:val="16"/>
        </w:rPr>
        <w:t xml:space="preserve">SOCIALDOO, Konstantina Iliopoulou, Director of Corporate Relations, +30 6974 894411, </w:t>
      </w:r>
      <w:hyperlink r:id="rId8">
        <w:r w:rsidRPr="00167E65">
          <w:rPr>
            <w:rFonts w:ascii="Segoe UI" w:eastAsia="Century Gothic" w:hAnsi="Segoe UI" w:cs="Segoe UI"/>
            <w:b/>
            <w:bCs/>
            <w:i/>
            <w:iCs/>
            <w:color w:val="1155CC"/>
            <w:sz w:val="16"/>
            <w:szCs w:val="16"/>
            <w:u w:val="single"/>
          </w:rPr>
          <w:t>kiliopoulou@socialdoo.gr</w:t>
        </w:r>
      </w:hyperlink>
      <w:bookmarkStart w:id="0" w:name="_j9vhjj4azws1" w:colFirst="0" w:colLast="0"/>
      <w:bookmarkStart w:id="1" w:name="_wreqlki94d86" w:colFirst="0" w:colLast="0"/>
      <w:bookmarkStart w:id="2" w:name="_o8jdogxv7jv" w:colFirst="0" w:colLast="0"/>
      <w:bookmarkEnd w:id="0"/>
      <w:bookmarkEnd w:id="1"/>
      <w:bookmarkEnd w:id="2"/>
    </w:p>
    <w:sectPr w:rsidR="003F58E1" w:rsidRPr="00167E65" w:rsidSect="003F58E1">
      <w:headerReference w:type="default" r:id="rId9"/>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D5C43" w14:textId="77777777" w:rsidR="00FD1454" w:rsidRDefault="00FD1454" w:rsidP="00D77701">
      <w:pPr>
        <w:spacing w:line="240" w:lineRule="auto"/>
      </w:pPr>
      <w:r>
        <w:separator/>
      </w:r>
    </w:p>
  </w:endnote>
  <w:endnote w:type="continuationSeparator" w:id="0">
    <w:p w14:paraId="6912ECA9" w14:textId="77777777" w:rsidR="00FD1454" w:rsidRDefault="00FD1454" w:rsidP="00D777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D6ECE" w14:textId="77777777" w:rsidR="00FD1454" w:rsidRDefault="00FD1454" w:rsidP="00D77701">
      <w:pPr>
        <w:spacing w:line="240" w:lineRule="auto"/>
      </w:pPr>
      <w:r>
        <w:separator/>
      </w:r>
    </w:p>
  </w:footnote>
  <w:footnote w:type="continuationSeparator" w:id="0">
    <w:p w14:paraId="3E9ED235" w14:textId="77777777" w:rsidR="00FD1454" w:rsidRDefault="00FD1454" w:rsidP="00D777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975EC" w14:textId="123E3DCF" w:rsidR="00D77701" w:rsidRDefault="00D77701" w:rsidP="00D77701">
    <w:pPr>
      <w:pStyle w:val="Header"/>
      <w:jc w:val="center"/>
    </w:pPr>
    <w:r>
      <w:rPr>
        <w:rFonts w:ascii="Segoe UI" w:hAnsi="Segoe UI" w:cs="Segoe UI"/>
        <w:b/>
        <w:bCs/>
        <w:noProof/>
        <w:lang w:val="en-US"/>
      </w:rPr>
      <w:drawing>
        <wp:inline distT="0" distB="0" distL="0" distR="0" wp14:anchorId="67D8BA86" wp14:editId="00788611">
          <wp:extent cx="2561445" cy="450568"/>
          <wp:effectExtent l="0" t="0" r="0" b="6985"/>
          <wp:docPr id="1916276689"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56780" name="Picture 1" descr="A black background with blu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825" cy="458023"/>
                  </a:xfrm>
                  <a:prstGeom prst="rect">
                    <a:avLst/>
                  </a:prstGeom>
                  <a:noFill/>
                  <a:ln>
                    <a:noFill/>
                  </a:ln>
                </pic:spPr>
              </pic:pic>
            </a:graphicData>
          </a:graphic>
        </wp:inline>
      </w:drawing>
    </w:r>
  </w:p>
  <w:p w14:paraId="251984A0" w14:textId="77777777" w:rsidR="00D77701" w:rsidRDefault="00D77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4783"/>
    <w:multiLevelType w:val="multilevel"/>
    <w:tmpl w:val="42A87A6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93080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545"/>
    <w:rsid w:val="00167E65"/>
    <w:rsid w:val="003B3AC4"/>
    <w:rsid w:val="003F58E1"/>
    <w:rsid w:val="005C7C31"/>
    <w:rsid w:val="00766AB1"/>
    <w:rsid w:val="007D7F0B"/>
    <w:rsid w:val="00A73AF1"/>
    <w:rsid w:val="00D26EE4"/>
    <w:rsid w:val="00D77701"/>
    <w:rsid w:val="00DB7811"/>
    <w:rsid w:val="00E74545"/>
    <w:rsid w:val="00E92D67"/>
    <w:rsid w:val="00F27A2C"/>
    <w:rsid w:val="00F87C1B"/>
    <w:rsid w:val="00FD14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0ADD4"/>
  <w15:chartTrackingRefBased/>
  <w15:docId w15:val="{EE0DC5ED-354B-418B-8414-8E91F8A2C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545"/>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E74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5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5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5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5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545"/>
    <w:rPr>
      <w:rFonts w:eastAsiaTheme="majorEastAsia" w:cstheme="majorBidi"/>
      <w:color w:val="272727" w:themeColor="text1" w:themeTint="D8"/>
    </w:rPr>
  </w:style>
  <w:style w:type="paragraph" w:styleId="Title">
    <w:name w:val="Title"/>
    <w:basedOn w:val="Normal"/>
    <w:next w:val="Normal"/>
    <w:link w:val="TitleChar"/>
    <w:uiPriority w:val="10"/>
    <w:qFormat/>
    <w:rsid w:val="00E74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545"/>
    <w:pPr>
      <w:spacing w:before="160"/>
      <w:jc w:val="center"/>
    </w:pPr>
    <w:rPr>
      <w:i/>
      <w:iCs/>
      <w:color w:val="404040" w:themeColor="text1" w:themeTint="BF"/>
    </w:rPr>
  </w:style>
  <w:style w:type="character" w:customStyle="1" w:styleId="QuoteChar">
    <w:name w:val="Quote Char"/>
    <w:basedOn w:val="DefaultParagraphFont"/>
    <w:link w:val="Quote"/>
    <w:uiPriority w:val="29"/>
    <w:rsid w:val="00E74545"/>
    <w:rPr>
      <w:i/>
      <w:iCs/>
      <w:color w:val="404040" w:themeColor="text1" w:themeTint="BF"/>
    </w:rPr>
  </w:style>
  <w:style w:type="paragraph" w:styleId="ListParagraph">
    <w:name w:val="List Paragraph"/>
    <w:basedOn w:val="Normal"/>
    <w:uiPriority w:val="34"/>
    <w:qFormat/>
    <w:rsid w:val="00E74545"/>
    <w:pPr>
      <w:ind w:left="720"/>
      <w:contextualSpacing/>
    </w:pPr>
  </w:style>
  <w:style w:type="character" w:styleId="IntenseEmphasis">
    <w:name w:val="Intense Emphasis"/>
    <w:basedOn w:val="DefaultParagraphFont"/>
    <w:uiPriority w:val="21"/>
    <w:qFormat/>
    <w:rsid w:val="00E74545"/>
    <w:rPr>
      <w:i/>
      <w:iCs/>
      <w:color w:val="0F4761" w:themeColor="accent1" w:themeShade="BF"/>
    </w:rPr>
  </w:style>
  <w:style w:type="paragraph" w:styleId="IntenseQuote">
    <w:name w:val="Intense Quote"/>
    <w:basedOn w:val="Normal"/>
    <w:next w:val="Normal"/>
    <w:link w:val="IntenseQuoteChar"/>
    <w:uiPriority w:val="30"/>
    <w:qFormat/>
    <w:rsid w:val="00E74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545"/>
    <w:rPr>
      <w:i/>
      <w:iCs/>
      <w:color w:val="0F4761" w:themeColor="accent1" w:themeShade="BF"/>
    </w:rPr>
  </w:style>
  <w:style w:type="character" w:styleId="IntenseReference">
    <w:name w:val="Intense Reference"/>
    <w:basedOn w:val="DefaultParagraphFont"/>
    <w:uiPriority w:val="32"/>
    <w:qFormat/>
    <w:rsid w:val="00E74545"/>
    <w:rPr>
      <w:b/>
      <w:bCs/>
      <w:smallCaps/>
      <w:color w:val="0F4761" w:themeColor="accent1" w:themeShade="BF"/>
      <w:spacing w:val="5"/>
    </w:rPr>
  </w:style>
  <w:style w:type="paragraph" w:styleId="Header">
    <w:name w:val="header"/>
    <w:basedOn w:val="Normal"/>
    <w:link w:val="HeaderChar"/>
    <w:uiPriority w:val="99"/>
    <w:unhideWhenUsed/>
    <w:rsid w:val="00D77701"/>
    <w:pPr>
      <w:tabs>
        <w:tab w:val="center" w:pos="4320"/>
        <w:tab w:val="right" w:pos="8640"/>
      </w:tabs>
      <w:spacing w:line="240" w:lineRule="auto"/>
    </w:pPr>
  </w:style>
  <w:style w:type="character" w:customStyle="1" w:styleId="HeaderChar">
    <w:name w:val="Header Char"/>
    <w:basedOn w:val="DefaultParagraphFont"/>
    <w:link w:val="Header"/>
    <w:uiPriority w:val="99"/>
    <w:rsid w:val="00D77701"/>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D77701"/>
    <w:pPr>
      <w:tabs>
        <w:tab w:val="center" w:pos="4320"/>
        <w:tab w:val="right" w:pos="8640"/>
      </w:tabs>
      <w:spacing w:line="240" w:lineRule="auto"/>
    </w:pPr>
  </w:style>
  <w:style w:type="character" w:customStyle="1" w:styleId="FooterChar">
    <w:name w:val="Footer Char"/>
    <w:basedOn w:val="DefaultParagraphFont"/>
    <w:link w:val="Footer"/>
    <w:uiPriority w:val="99"/>
    <w:rsid w:val="00D77701"/>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liopoulou@socialdoo.gr" TargetMode="External"/><Relationship Id="rId3" Type="http://schemas.openxmlformats.org/officeDocument/2006/relationships/settings" Target="settings.xml"/><Relationship Id="rId7" Type="http://schemas.openxmlformats.org/officeDocument/2006/relationships/hyperlink" Target="mailto:A.Trokoudi@growthfund.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387</Words>
  <Characters>2209</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Achilleas Topas</cp:lastModifiedBy>
  <cp:revision>4</cp:revision>
  <dcterms:created xsi:type="dcterms:W3CDTF">2026-10-27T15:16:00Z</dcterms:created>
  <dcterms:modified xsi:type="dcterms:W3CDTF">2026-10-29T10:57:00Z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cc303-c827-4bc8-8096-cfbe6c892f41_Enabled">
    <vt:lpwstr>true</vt:lpwstr>
  </property>
  <property fmtid="{D5CDD505-2E9C-101B-9397-08002B2CF9AE}" pid="3" name="MSIP_Label_4a1cc303-c827-4bc8-8096-cfbe6c892f41_SetDate">
    <vt:lpwstr>2026-10-27T15:16:02Z</vt:lpwstr>
  </property>
  <property fmtid="{D5CDD505-2E9C-101B-9397-08002B2CF9AE}" pid="4" name="MSIP_Label_4a1cc303-c827-4bc8-8096-cfbe6c892f41_Method">
    <vt:lpwstr>Standard</vt:lpwstr>
  </property>
  <property fmtid="{D5CDD505-2E9C-101B-9397-08002B2CF9AE}" pid="5" name="MSIP_Label_4a1cc303-c827-4bc8-8096-cfbe6c892f41_Name">
    <vt:lpwstr>Public</vt:lpwstr>
  </property>
  <property fmtid="{D5CDD505-2E9C-101B-9397-08002B2CF9AE}" pid="6" name="MSIP_Label_4a1cc303-c827-4bc8-8096-cfbe6c892f41_SiteId">
    <vt:lpwstr>2b0fc7ca-0745-42be-85de-e8eb8234033e</vt:lpwstr>
  </property>
  <property fmtid="{D5CDD505-2E9C-101B-9397-08002B2CF9AE}" pid="7" name="MSIP_Label_4a1cc303-c827-4bc8-8096-cfbe6c892f41_ActionId">
    <vt:lpwstr>818421f9-ba92-47a6-a4d8-d14476c85604</vt:lpwstr>
  </property>
  <property fmtid="{D5CDD505-2E9C-101B-9397-08002B2CF9AE}" pid="8" name="MSIP_Label_4a1cc303-c827-4bc8-8096-cfbe6c892f41_ContentBits">
    <vt:lpwstr>0</vt:lpwstr>
  </property>
  <property fmtid="{D5CDD505-2E9C-101B-9397-08002B2CF9AE}" pid="9" name="MSIP_Label_4a1cc303-c827-4bc8-8096-cfbe6c892f41_Tag">
    <vt:lpwstr>10, 3, 0, 1</vt:lpwstr>
  </property>
</Properties>
</file>