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3CD5" w14:textId="3E1DD175" w:rsidR="00131146" w:rsidRDefault="00131146" w:rsidP="00131146">
      <w:pPr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18F95544" wp14:editId="3048CA6D">
            <wp:extent cx="3528060" cy="975360"/>
            <wp:effectExtent l="0" t="0" r="0" b="0"/>
            <wp:docPr id="27245356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53564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9658" w14:textId="77777777" w:rsidR="00131146" w:rsidRDefault="00131146" w:rsidP="00131146">
      <w:pPr>
        <w:spacing w:line="276" w:lineRule="auto"/>
        <w:rPr>
          <w:b/>
          <w:bCs/>
          <w:lang w:val="el-GR"/>
        </w:rPr>
      </w:pPr>
    </w:p>
    <w:p w14:paraId="67DC6086" w14:textId="6F50B6EF" w:rsidR="00131146" w:rsidRP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b/>
          <w:bCs/>
          <w:sz w:val="22"/>
          <w:szCs w:val="22"/>
        </w:rPr>
        <w:t>Athens, March</w:t>
      </w:r>
      <w:r w:rsidR="00C4326D">
        <w:rPr>
          <w:rFonts w:ascii="Segoe UI" w:hAnsi="Segoe UI" w:cs="Segoe UI"/>
          <w:b/>
          <w:bCs/>
          <w:sz w:val="22"/>
          <w:szCs w:val="22"/>
        </w:rPr>
        <w:t xml:space="preserve"> 31</w:t>
      </w:r>
      <w:r w:rsidR="00871230">
        <w:rPr>
          <w:rFonts w:ascii="Segoe UI" w:hAnsi="Segoe UI" w:cs="Segoe UI"/>
          <w:b/>
          <w:bCs/>
          <w:sz w:val="22"/>
          <w:szCs w:val="22"/>
        </w:rPr>
        <w:t>,</w:t>
      </w:r>
      <w:r w:rsidRPr="00131146">
        <w:rPr>
          <w:rFonts w:ascii="Segoe UI" w:hAnsi="Segoe UI" w:cs="Segoe UI"/>
          <w:b/>
          <w:bCs/>
          <w:sz w:val="22"/>
          <w:szCs w:val="22"/>
        </w:rPr>
        <w:t xml:space="preserve"> 2026</w:t>
      </w:r>
    </w:p>
    <w:p w14:paraId="0C6FD604" w14:textId="63251FD8" w:rsidR="00131146" w:rsidRPr="00131146" w:rsidRDefault="00131146" w:rsidP="00131146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b/>
          <w:bCs/>
          <w:sz w:val="22"/>
          <w:szCs w:val="22"/>
        </w:rPr>
        <w:t>Interest from f</w:t>
      </w:r>
      <w:r w:rsidR="00283B5B">
        <w:rPr>
          <w:rFonts w:ascii="Segoe UI" w:hAnsi="Segoe UI" w:cs="Segoe UI"/>
          <w:b/>
          <w:bCs/>
          <w:sz w:val="22"/>
          <w:szCs w:val="22"/>
        </w:rPr>
        <w:t>ive</w:t>
      </w:r>
      <w:r w:rsidRPr="00131146">
        <w:rPr>
          <w:rFonts w:ascii="Segoe UI" w:hAnsi="Segoe UI" w:cs="Segoe UI"/>
          <w:b/>
          <w:bCs/>
          <w:sz w:val="22"/>
          <w:szCs w:val="22"/>
        </w:rPr>
        <w:t xml:space="preserve"> (</w:t>
      </w:r>
      <w:r w:rsidR="00283B5B">
        <w:rPr>
          <w:rFonts w:ascii="Segoe UI" w:hAnsi="Segoe UI" w:cs="Segoe UI"/>
          <w:b/>
          <w:bCs/>
          <w:sz w:val="22"/>
          <w:szCs w:val="22"/>
        </w:rPr>
        <w:t>5</w:t>
      </w:r>
      <w:r w:rsidRPr="00131146">
        <w:rPr>
          <w:rFonts w:ascii="Segoe UI" w:hAnsi="Segoe UI" w:cs="Segoe UI"/>
          <w:b/>
          <w:bCs/>
          <w:sz w:val="22"/>
          <w:szCs w:val="22"/>
        </w:rPr>
        <w:t xml:space="preserve">) investment schemes in the tender for the development of the </w:t>
      </w:r>
      <w:r>
        <w:rPr>
          <w:rFonts w:ascii="Segoe UI" w:hAnsi="Segoe UI" w:cs="Segoe UI"/>
          <w:b/>
          <w:bCs/>
          <w:sz w:val="22"/>
          <w:szCs w:val="22"/>
        </w:rPr>
        <w:t xml:space="preserve">Marina of </w:t>
      </w:r>
      <w:proofErr w:type="spellStart"/>
      <w:r w:rsidRPr="00131146">
        <w:rPr>
          <w:rFonts w:ascii="Segoe UI" w:hAnsi="Segoe UI" w:cs="Segoe UI"/>
          <w:b/>
          <w:bCs/>
          <w:sz w:val="22"/>
          <w:szCs w:val="22"/>
        </w:rPr>
        <w:t>Kalamaria</w:t>
      </w:r>
      <w:proofErr w:type="spellEnd"/>
      <w:r w:rsidRPr="00131146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972090E" w14:textId="711682D8" w:rsidR="00131146" w:rsidRP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>Growthfund announces that f</w:t>
      </w:r>
      <w:r w:rsidR="00283B5B">
        <w:rPr>
          <w:rFonts w:ascii="Segoe UI" w:hAnsi="Segoe UI" w:cs="Segoe UI"/>
          <w:sz w:val="22"/>
          <w:szCs w:val="22"/>
        </w:rPr>
        <w:t>ive</w:t>
      </w:r>
      <w:r w:rsidRPr="00131146">
        <w:rPr>
          <w:rFonts w:ascii="Segoe UI" w:hAnsi="Segoe UI" w:cs="Segoe UI"/>
          <w:sz w:val="22"/>
          <w:szCs w:val="22"/>
        </w:rPr>
        <w:t xml:space="preserve"> (</w:t>
      </w:r>
      <w:r w:rsidR="00283B5B">
        <w:rPr>
          <w:rFonts w:ascii="Segoe UI" w:hAnsi="Segoe UI" w:cs="Segoe UI"/>
          <w:sz w:val="22"/>
          <w:szCs w:val="22"/>
        </w:rPr>
        <w:t>5</w:t>
      </w:r>
      <w:r w:rsidRPr="00131146">
        <w:rPr>
          <w:rFonts w:ascii="Segoe UI" w:hAnsi="Segoe UI" w:cs="Segoe UI"/>
          <w:sz w:val="22"/>
          <w:szCs w:val="22"/>
        </w:rPr>
        <w:t xml:space="preserve">) investment schemes have submitted Expressions of Interest in the international tender for the concession of the right to use, operate, manage and commercially exploit the </w:t>
      </w:r>
      <w:r w:rsidR="00827900">
        <w:rPr>
          <w:rFonts w:ascii="Segoe UI" w:hAnsi="Segoe UI" w:cs="Segoe UI"/>
          <w:sz w:val="22"/>
          <w:szCs w:val="22"/>
        </w:rPr>
        <w:t xml:space="preserve">Marina of </w:t>
      </w:r>
      <w:proofErr w:type="spellStart"/>
      <w:r w:rsidRPr="00131146">
        <w:rPr>
          <w:rFonts w:ascii="Segoe UI" w:hAnsi="Segoe UI" w:cs="Segoe UI"/>
          <w:sz w:val="22"/>
          <w:szCs w:val="22"/>
        </w:rPr>
        <w:t>Kalamaria</w:t>
      </w:r>
      <w:proofErr w:type="spellEnd"/>
      <w:r w:rsidRPr="00131146">
        <w:rPr>
          <w:rFonts w:ascii="Segoe UI" w:hAnsi="Segoe UI" w:cs="Segoe UI"/>
          <w:sz w:val="22"/>
          <w:szCs w:val="22"/>
        </w:rPr>
        <w:t>.</w:t>
      </w:r>
    </w:p>
    <w:p w14:paraId="66D2415D" w14:textId="77777777" w:rsidR="00131146" w:rsidRP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>In particular, the following investment schemes expressed interest (in alphabetical order):</w:t>
      </w:r>
    </w:p>
    <w:p w14:paraId="56DDC985" w14:textId="19E336C6" w:rsidR="00131146" w:rsidRPr="00131146" w:rsidRDefault="00131146" w:rsidP="00131146">
      <w:pPr>
        <w:pStyle w:val="ListParagraph"/>
        <w:numPr>
          <w:ilvl w:val="0"/>
          <w:numId w:val="1"/>
        </w:numPr>
        <w:tabs>
          <w:tab w:val="clear" w:pos="720"/>
        </w:tabs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131146">
        <w:rPr>
          <w:rFonts w:ascii="Segoe UI" w:hAnsi="Segoe UI" w:cs="Segoe UI"/>
          <w:sz w:val="20"/>
          <w:szCs w:val="20"/>
          <w:lang w:val="el-GR"/>
        </w:rPr>
        <w:t>AVAX Group</w:t>
      </w:r>
      <w:r w:rsidR="00827900">
        <w:rPr>
          <w:rFonts w:ascii="Segoe UI" w:hAnsi="Segoe UI" w:cs="Segoe UI"/>
          <w:sz w:val="20"/>
          <w:szCs w:val="20"/>
        </w:rPr>
        <w:t>.</w:t>
      </w:r>
    </w:p>
    <w:p w14:paraId="076B8F18" w14:textId="7B34917C" w:rsidR="00131146" w:rsidRPr="00131146" w:rsidRDefault="00131146" w:rsidP="00131146">
      <w:pPr>
        <w:pStyle w:val="ListParagraph"/>
        <w:numPr>
          <w:ilvl w:val="0"/>
          <w:numId w:val="1"/>
        </w:numPr>
        <w:tabs>
          <w:tab w:val="clear" w:pos="720"/>
        </w:tabs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proofErr w:type="spellStart"/>
      <w:r w:rsidRPr="00131146">
        <w:rPr>
          <w:rFonts w:ascii="Segoe UI" w:hAnsi="Segoe UI" w:cs="Segoe UI"/>
          <w:sz w:val="20"/>
          <w:szCs w:val="20"/>
          <w:lang w:val="el-GR"/>
        </w:rPr>
        <w:t>Lamda</w:t>
      </w:r>
      <w:proofErr w:type="spellEnd"/>
      <w:r w:rsidRPr="00131146">
        <w:rPr>
          <w:rFonts w:ascii="Segoe UI" w:hAnsi="Segoe UI" w:cs="Segoe UI"/>
          <w:sz w:val="20"/>
          <w:szCs w:val="20"/>
          <w:lang w:val="el-GR"/>
        </w:rPr>
        <w:t xml:space="preserve"> Marinas</w:t>
      </w:r>
      <w:r w:rsidR="00827900">
        <w:rPr>
          <w:rFonts w:ascii="Segoe UI" w:hAnsi="Segoe UI" w:cs="Segoe UI"/>
          <w:sz w:val="20"/>
          <w:szCs w:val="20"/>
        </w:rPr>
        <w:t>.</w:t>
      </w:r>
    </w:p>
    <w:p w14:paraId="50098C56" w14:textId="77777777" w:rsidR="00131146" w:rsidRPr="00131146" w:rsidRDefault="00131146" w:rsidP="00131146">
      <w:pPr>
        <w:pStyle w:val="ListParagraph"/>
        <w:numPr>
          <w:ilvl w:val="0"/>
          <w:numId w:val="1"/>
        </w:numPr>
        <w:tabs>
          <w:tab w:val="clear" w:pos="720"/>
        </w:tabs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131146">
        <w:rPr>
          <w:rFonts w:ascii="Segoe UI" w:hAnsi="Segoe UI" w:cs="Segoe UI"/>
          <w:sz w:val="20"/>
          <w:szCs w:val="20"/>
          <w:lang w:val="el-GR"/>
        </w:rPr>
        <w:t xml:space="preserve">R.E.D.S. S.A. </w:t>
      </w:r>
    </w:p>
    <w:p w14:paraId="353DCB10" w14:textId="5D2CFE5A" w:rsidR="00131146" w:rsidRPr="00131146" w:rsidRDefault="00131146" w:rsidP="00131146">
      <w:pPr>
        <w:pStyle w:val="ListParagraph"/>
        <w:numPr>
          <w:ilvl w:val="0"/>
          <w:numId w:val="1"/>
        </w:numPr>
        <w:tabs>
          <w:tab w:val="clear" w:pos="720"/>
        </w:tabs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proofErr w:type="spellStart"/>
      <w:r w:rsidRPr="00131146">
        <w:rPr>
          <w:rFonts w:ascii="Segoe UI" w:hAnsi="Segoe UI" w:cs="Segoe UI"/>
          <w:sz w:val="20"/>
          <w:szCs w:val="20"/>
          <w:lang w:val="el-GR"/>
        </w:rPr>
        <w:t>Techni</w:t>
      </w:r>
      <w:r>
        <w:rPr>
          <w:rFonts w:ascii="Segoe UI" w:hAnsi="Segoe UI" w:cs="Segoe UI"/>
          <w:sz w:val="20"/>
          <w:szCs w:val="20"/>
        </w:rPr>
        <w:t>cal</w:t>
      </w:r>
      <w:proofErr w:type="spellEnd"/>
      <w:r w:rsidRPr="00131146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31146">
        <w:rPr>
          <w:rFonts w:ascii="Segoe UI" w:hAnsi="Segoe UI" w:cs="Segoe UI"/>
          <w:sz w:val="20"/>
          <w:szCs w:val="20"/>
          <w:lang w:val="el-GR"/>
        </w:rPr>
        <w:t>Olympi</w:t>
      </w:r>
      <w:proofErr w:type="spellEnd"/>
      <w:r>
        <w:rPr>
          <w:rFonts w:ascii="Segoe UI" w:hAnsi="Segoe UI" w:cs="Segoe UI"/>
          <w:sz w:val="20"/>
          <w:szCs w:val="20"/>
        </w:rPr>
        <w:t>c</w:t>
      </w:r>
      <w:r w:rsidRPr="00131146">
        <w:rPr>
          <w:rFonts w:ascii="Segoe UI" w:hAnsi="Segoe UI" w:cs="Segoe UI"/>
          <w:sz w:val="20"/>
          <w:szCs w:val="20"/>
          <w:lang w:val="el-GR"/>
        </w:rPr>
        <w:t xml:space="preserve"> S.A. </w:t>
      </w:r>
    </w:p>
    <w:p w14:paraId="3FA3CBFB" w14:textId="77777777" w:rsidR="00131146" w:rsidRPr="00131146" w:rsidRDefault="00131146" w:rsidP="00131146">
      <w:pPr>
        <w:pStyle w:val="ListParagraph"/>
        <w:numPr>
          <w:ilvl w:val="0"/>
          <w:numId w:val="1"/>
        </w:numPr>
        <w:tabs>
          <w:tab w:val="clear" w:pos="720"/>
        </w:tabs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131146">
        <w:rPr>
          <w:rFonts w:ascii="Segoe UI" w:hAnsi="Segoe UI" w:cs="Segoe UI"/>
          <w:sz w:val="20"/>
          <w:szCs w:val="20"/>
          <w:lang w:val="el-GR"/>
        </w:rPr>
        <w:t xml:space="preserve">TEKAL S.A. </w:t>
      </w:r>
    </w:p>
    <w:p w14:paraId="142779AF" w14:textId="255A15C5" w:rsidR="00131146" w:rsidRDefault="00131146" w:rsidP="00FE6AC7">
      <w:pPr>
        <w:spacing w:after="360"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 xml:space="preserve">The concession period is set at a minimum of </w:t>
      </w:r>
      <w:r w:rsidRPr="00131146">
        <w:rPr>
          <w:rFonts w:ascii="Segoe UI" w:hAnsi="Segoe UI" w:cs="Segoe UI"/>
          <w:b/>
          <w:bCs/>
          <w:sz w:val="22"/>
          <w:szCs w:val="22"/>
        </w:rPr>
        <w:t xml:space="preserve">35 </w:t>
      </w:r>
      <w:r w:rsidR="00827900" w:rsidRPr="00131146">
        <w:rPr>
          <w:rFonts w:ascii="Segoe UI" w:hAnsi="Segoe UI" w:cs="Segoe UI"/>
          <w:b/>
          <w:bCs/>
          <w:sz w:val="22"/>
          <w:szCs w:val="22"/>
        </w:rPr>
        <w:t>years,</w:t>
      </w:r>
      <w:r w:rsidR="00FE6AC7">
        <w:rPr>
          <w:rFonts w:ascii="Segoe UI" w:hAnsi="Segoe UI" w:cs="Segoe UI"/>
          <w:sz w:val="22"/>
          <w:szCs w:val="22"/>
        </w:rPr>
        <w:t xml:space="preserve"> and it may be extended </w:t>
      </w:r>
      <w:proofErr w:type="gramStart"/>
      <w:r w:rsidR="00FE6AC7">
        <w:rPr>
          <w:rFonts w:ascii="Segoe UI" w:hAnsi="Segoe UI" w:cs="Segoe UI"/>
          <w:sz w:val="22"/>
          <w:szCs w:val="22"/>
        </w:rPr>
        <w:t>for</w:t>
      </w:r>
      <w:proofErr w:type="gramEnd"/>
      <w:r w:rsidR="00FE6AC7">
        <w:rPr>
          <w:rFonts w:ascii="Segoe UI" w:hAnsi="Segoe UI" w:cs="Segoe UI"/>
          <w:sz w:val="22"/>
          <w:szCs w:val="22"/>
        </w:rPr>
        <w:t xml:space="preserve"> an additional ten (10) years. </w:t>
      </w:r>
    </w:p>
    <w:p w14:paraId="05A8032A" w14:textId="21AA721C" w:rsidR="00131146" w:rsidRPr="00131146" w:rsidRDefault="00131146" w:rsidP="00131146">
      <w:pPr>
        <w:spacing w:after="360"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 xml:space="preserve">Following the completion of the evaluation of the Expressions of Interest, the </w:t>
      </w:r>
      <w:r w:rsidR="00946DAB">
        <w:rPr>
          <w:rFonts w:ascii="Segoe UI" w:hAnsi="Segoe UI" w:cs="Segoe UI"/>
          <w:sz w:val="22"/>
          <w:szCs w:val="22"/>
        </w:rPr>
        <w:t>interested parties</w:t>
      </w:r>
      <w:r w:rsidRPr="00131146">
        <w:rPr>
          <w:rFonts w:ascii="Segoe UI" w:hAnsi="Segoe UI" w:cs="Segoe UI"/>
          <w:sz w:val="22"/>
          <w:szCs w:val="22"/>
        </w:rPr>
        <w:t xml:space="preserve"> that meet the prequalification criteria will be invited to participate in Phase B of the tender process, during which they will submit binding offers.</w:t>
      </w:r>
    </w:p>
    <w:p w14:paraId="198E0302" w14:textId="2935F0B1" w:rsidR="00131146" w:rsidRP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 xml:space="preserve">For the development of the </w:t>
      </w:r>
      <w:r>
        <w:rPr>
          <w:rFonts w:ascii="Segoe UI" w:hAnsi="Segoe UI" w:cs="Segoe UI"/>
          <w:sz w:val="22"/>
          <w:szCs w:val="22"/>
        </w:rPr>
        <w:t>marina</w:t>
      </w:r>
      <w:r w:rsidRPr="00131146">
        <w:rPr>
          <w:rFonts w:ascii="Segoe UI" w:hAnsi="Segoe UI" w:cs="Segoe UI"/>
          <w:sz w:val="22"/>
          <w:szCs w:val="22"/>
        </w:rPr>
        <w:t>, Growthfund has prepared a Strategic Development Plan (Master Plan)</w:t>
      </w:r>
      <w:r>
        <w:rPr>
          <w:rFonts w:ascii="Segoe UI" w:hAnsi="Segoe UI" w:cs="Segoe UI"/>
          <w:sz w:val="22"/>
          <w:szCs w:val="22"/>
        </w:rPr>
        <w:t>,</w:t>
      </w:r>
      <w:r w:rsidRPr="00131146">
        <w:rPr>
          <w:rFonts w:ascii="Segoe UI" w:hAnsi="Segoe UI" w:cs="Segoe UI"/>
          <w:sz w:val="22"/>
          <w:szCs w:val="22"/>
        </w:rPr>
        <w:t xml:space="preserve"> with particularly mild building terms, which was approved by Presidential Decree following </w:t>
      </w:r>
      <w:r w:rsidR="00A6155C">
        <w:rPr>
          <w:rFonts w:ascii="Segoe UI" w:hAnsi="Segoe UI" w:cs="Segoe UI"/>
          <w:sz w:val="22"/>
          <w:szCs w:val="22"/>
        </w:rPr>
        <w:t>review and approval</w:t>
      </w:r>
      <w:r w:rsidRPr="00131146">
        <w:rPr>
          <w:rFonts w:ascii="Segoe UI" w:hAnsi="Segoe UI" w:cs="Segoe UI"/>
          <w:sz w:val="22"/>
          <w:szCs w:val="22"/>
        </w:rPr>
        <w:t xml:space="preserve"> by the Council of State in 2023. The spatial planning of the marina was finali</w:t>
      </w:r>
      <w:r>
        <w:rPr>
          <w:rFonts w:ascii="Segoe UI" w:hAnsi="Segoe UI" w:cs="Segoe UI"/>
          <w:sz w:val="22"/>
          <w:szCs w:val="22"/>
        </w:rPr>
        <w:t>s</w:t>
      </w:r>
      <w:r w:rsidRPr="00131146">
        <w:rPr>
          <w:rFonts w:ascii="Segoe UI" w:hAnsi="Segoe UI" w:cs="Segoe UI"/>
          <w:sz w:val="22"/>
          <w:szCs w:val="22"/>
        </w:rPr>
        <w:t>ed by a joint ministerial decision of the Ministers of Environment and Energy and Tourism in October 2025, approving the environmental terms of the project.</w:t>
      </w:r>
    </w:p>
    <w:p w14:paraId="3721050E" w14:textId="5F18EBDB" w:rsid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31146">
        <w:rPr>
          <w:rFonts w:ascii="Segoe UI" w:hAnsi="Segoe UI" w:cs="Segoe UI"/>
          <w:sz w:val="22"/>
          <w:szCs w:val="22"/>
        </w:rPr>
        <w:t xml:space="preserve">According to the Presidential Decree, permitted uses within the marina include tourism and leisure activities, as well as onshore storage and maintenance of vessels. </w:t>
      </w:r>
      <w:r>
        <w:rPr>
          <w:rFonts w:ascii="Segoe UI" w:hAnsi="Segoe UI" w:cs="Segoe UI"/>
          <w:sz w:val="22"/>
          <w:szCs w:val="22"/>
        </w:rPr>
        <w:t>It</w:t>
      </w:r>
      <w:r w:rsidRPr="00131146">
        <w:rPr>
          <w:rFonts w:ascii="Segoe UI" w:hAnsi="Segoe UI" w:cs="Segoe UI"/>
          <w:sz w:val="22"/>
          <w:szCs w:val="22"/>
        </w:rPr>
        <w:t xml:space="preserve"> also provides for the development of open-air areas, pedestrian and sports walkways, as well as green spaces, all of </w:t>
      </w:r>
      <w:r w:rsidRPr="00131146">
        <w:rPr>
          <w:rFonts w:ascii="Segoe UI" w:hAnsi="Segoe UI" w:cs="Segoe UI"/>
          <w:sz w:val="22"/>
          <w:szCs w:val="22"/>
        </w:rPr>
        <w:lastRenderedPageBreak/>
        <w:t>which will be freely accessible to the public. In addition, an increase in the marina’s capacity is provided for, to a total of 327 berths for vessels up to 40 meters in length.</w:t>
      </w:r>
    </w:p>
    <w:p w14:paraId="28414FED" w14:textId="77777777" w:rsid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97323AA" w14:textId="77777777" w:rsidR="00131146" w:rsidRDefault="00131146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921CB51" w14:textId="77777777" w:rsidR="00946DAB" w:rsidRPr="003E195C" w:rsidRDefault="00946DAB" w:rsidP="00946DAB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3E195C">
        <w:rPr>
          <w:rFonts w:ascii="Segoe UI" w:hAnsi="Segoe UI" w:cs="Segoe UI"/>
          <w:b/>
          <w:bCs/>
          <w:i/>
          <w:iCs/>
          <w:sz w:val="18"/>
          <w:szCs w:val="18"/>
        </w:rPr>
        <w:t xml:space="preserve">For further information please contact: </w:t>
      </w:r>
    </w:p>
    <w:p w14:paraId="5081BF56" w14:textId="77777777" w:rsidR="00946DAB" w:rsidRPr="003E195C" w:rsidRDefault="00946DAB" w:rsidP="00946DAB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3E195C">
        <w:rPr>
          <w:rFonts w:ascii="Segoe UI" w:hAnsi="Segoe UI" w:cs="Segoe UI"/>
          <w:b/>
          <w:bCs/>
          <w:i/>
          <w:iCs/>
          <w:sz w:val="18"/>
          <w:szCs w:val="18"/>
        </w:rPr>
        <w:t xml:space="preserve">GROWTHFUND, Anthi Trokoudi, Chief Communications &amp; Sustainability Officer, +30 6932 100053, </w:t>
      </w:r>
      <w:hyperlink r:id="rId6" w:history="1">
        <w:r w:rsidRPr="003E195C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A.Trokoudi@growthfund.gr</w:t>
        </w:r>
      </w:hyperlink>
      <w:r w:rsidRPr="003E195C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</w:t>
      </w:r>
    </w:p>
    <w:p w14:paraId="1C962913" w14:textId="77777777" w:rsidR="00946DAB" w:rsidRDefault="00946DAB" w:rsidP="00946DAB">
      <w:pPr>
        <w:tabs>
          <w:tab w:val="left" w:pos="142"/>
        </w:tabs>
        <w:spacing w:line="264" w:lineRule="auto"/>
        <w:jc w:val="both"/>
      </w:pPr>
      <w:r w:rsidRPr="003E195C">
        <w:rPr>
          <w:rFonts w:ascii="Segoe UI" w:hAnsi="Segoe UI" w:cs="Segoe UI"/>
          <w:b/>
          <w:bCs/>
          <w:i/>
          <w:iCs/>
          <w:sz w:val="18"/>
          <w:szCs w:val="18"/>
        </w:rPr>
        <w:t xml:space="preserve">SOCIALDOO, Konstantina Iliopoulou, Director of Corporate Relations, +30 6974 894411, </w:t>
      </w:r>
      <w:hyperlink r:id="rId7" w:history="1">
        <w:r w:rsidRPr="003E195C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kiliopoulou@socialdoo.gr</w:t>
        </w:r>
      </w:hyperlink>
      <w:r w:rsidRPr="003E195C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  </w:t>
      </w:r>
    </w:p>
    <w:p w14:paraId="47B287C8" w14:textId="77777777" w:rsidR="00946DAB" w:rsidRPr="00A25378" w:rsidRDefault="00946DAB" w:rsidP="00946DAB">
      <w:pPr>
        <w:jc w:val="both"/>
        <w:rPr>
          <w:rFonts w:ascii="Segoe UI" w:hAnsi="Segoe UI" w:cs="Segoe UI"/>
          <w:sz w:val="22"/>
          <w:szCs w:val="22"/>
        </w:rPr>
      </w:pPr>
    </w:p>
    <w:p w14:paraId="334E97C9" w14:textId="77777777" w:rsidR="00946DAB" w:rsidRDefault="00946DAB" w:rsidP="0013114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94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3AC"/>
    <w:multiLevelType w:val="multilevel"/>
    <w:tmpl w:val="E2BA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34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1005B9"/>
    <w:rsid w:val="00131146"/>
    <w:rsid w:val="001727FA"/>
    <w:rsid w:val="00231D84"/>
    <w:rsid w:val="00283B5B"/>
    <w:rsid w:val="0028749D"/>
    <w:rsid w:val="004A7C5C"/>
    <w:rsid w:val="00827900"/>
    <w:rsid w:val="00871230"/>
    <w:rsid w:val="008C799C"/>
    <w:rsid w:val="00926406"/>
    <w:rsid w:val="00946DAB"/>
    <w:rsid w:val="0096636E"/>
    <w:rsid w:val="00A24729"/>
    <w:rsid w:val="00A6155C"/>
    <w:rsid w:val="00B1180D"/>
    <w:rsid w:val="00C4326D"/>
    <w:rsid w:val="00D075AD"/>
    <w:rsid w:val="00DD358B"/>
    <w:rsid w:val="00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BEC2"/>
  <w15:chartTrackingRefBased/>
  <w15:docId w15:val="{890FE8EB-0BA6-40E4-9578-1097A4F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46"/>
    <w:rPr>
      <w:i/>
      <w:iCs/>
      <w:color w:val="404040" w:themeColor="text1" w:themeTint="BF"/>
    </w:rPr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13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4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131146"/>
  </w:style>
  <w:style w:type="character" w:styleId="Hyperlink">
    <w:name w:val="Hyperlink"/>
    <w:basedOn w:val="DefaultParagraphFont"/>
    <w:uiPriority w:val="99"/>
    <w:unhideWhenUsed/>
    <w:rsid w:val="00946D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liopoulou@sociald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Trokoudi@growthfund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2</cp:revision>
  <dcterms:created xsi:type="dcterms:W3CDTF">2026-03-31T12:29:00Z</dcterms:created>
  <dcterms:modified xsi:type="dcterms:W3CDTF">2026-03-31T12:29:00Z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2026-03-31T11:29:39Z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9d983a5e-1acf-4219-ac7e-5919547a30fe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