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33AA1" w14:textId="77777777" w:rsidR="003C072A" w:rsidRDefault="003C072A" w:rsidP="003C072A">
      <w:pPr>
        <w:jc w:val="both"/>
        <w:rPr>
          <w:rFonts w:ascii="Segoe UI" w:eastAsia="Century Gothic" w:hAnsi="Segoe UI" w:cs="Segoe UI"/>
          <w:b/>
          <w:bCs/>
          <w:sz w:val="20"/>
          <w:szCs w:val="20"/>
        </w:rPr>
      </w:pPr>
      <w:r w:rsidRPr="00F0376C">
        <w:rPr>
          <w:rFonts w:ascii="Segoe UI" w:eastAsia="Century Gothic" w:hAnsi="Segoe UI" w:cs="Segoe UI"/>
          <w:b/>
          <w:bCs/>
          <w:sz w:val="20"/>
          <w:szCs w:val="20"/>
        </w:rPr>
        <w:t>Athens, 3 September 2026</w:t>
      </w:r>
    </w:p>
    <w:p w14:paraId="272099B3" w14:textId="77777777" w:rsidR="009B68F8" w:rsidRPr="00F0376C" w:rsidRDefault="009B68F8" w:rsidP="003C072A">
      <w:pPr>
        <w:jc w:val="both"/>
        <w:rPr>
          <w:rFonts w:ascii="Segoe UI" w:eastAsia="Century Gothic" w:hAnsi="Segoe UI" w:cs="Segoe UI"/>
          <w:b/>
          <w:bCs/>
          <w:sz w:val="20"/>
          <w:szCs w:val="20"/>
        </w:rPr>
      </w:pPr>
    </w:p>
    <w:p w14:paraId="0D7D1300" w14:textId="77777777" w:rsidR="003C072A" w:rsidRPr="00F0376C" w:rsidRDefault="003C072A" w:rsidP="00F0376C">
      <w:pPr>
        <w:jc w:val="center"/>
        <w:rPr>
          <w:rFonts w:ascii="Segoe UI" w:eastAsia="Century Gothic" w:hAnsi="Segoe UI" w:cs="Segoe UI"/>
          <w:b/>
          <w:bCs/>
          <w:sz w:val="20"/>
          <w:szCs w:val="20"/>
        </w:rPr>
      </w:pPr>
      <w:r w:rsidRPr="00F0376C">
        <w:rPr>
          <w:rFonts w:ascii="Segoe UI" w:eastAsia="Century Gothic" w:hAnsi="Segoe UI" w:cs="Segoe UI"/>
          <w:b/>
          <w:bCs/>
          <w:sz w:val="20"/>
          <w:szCs w:val="20"/>
        </w:rPr>
        <w:t>Hellenic Growth Fund: Three (3) financial offers for the development of the “</w:t>
      </w:r>
      <w:proofErr w:type="spellStart"/>
      <w:r w:rsidRPr="00F0376C">
        <w:rPr>
          <w:rFonts w:ascii="Segoe UI" w:eastAsia="Century Gothic" w:hAnsi="Segoe UI" w:cs="Segoe UI"/>
          <w:b/>
          <w:bCs/>
          <w:sz w:val="20"/>
          <w:szCs w:val="20"/>
        </w:rPr>
        <w:t>Markopoulo</w:t>
      </w:r>
      <w:proofErr w:type="spellEnd"/>
      <w:r w:rsidRPr="00F0376C">
        <w:rPr>
          <w:rFonts w:ascii="Segoe UI" w:eastAsia="Century Gothic" w:hAnsi="Segoe UI" w:cs="Segoe UI"/>
          <w:b/>
          <w:bCs/>
          <w:sz w:val="20"/>
          <w:szCs w:val="20"/>
        </w:rPr>
        <w:t xml:space="preserve"> Olympic Equestrian Centre” property</w:t>
      </w:r>
    </w:p>
    <w:p w14:paraId="124E98AE" w14:textId="77777777" w:rsidR="003C072A" w:rsidRPr="00F0376C" w:rsidRDefault="003C072A" w:rsidP="003C072A">
      <w:pPr>
        <w:jc w:val="both"/>
        <w:rPr>
          <w:rFonts w:ascii="Segoe UI" w:eastAsia="Century Gothic" w:hAnsi="Segoe UI" w:cs="Segoe UI"/>
          <w:sz w:val="20"/>
          <w:szCs w:val="20"/>
        </w:rPr>
      </w:pPr>
    </w:p>
    <w:p w14:paraId="6C440F18" w14:textId="77777777" w:rsidR="003C072A" w:rsidRPr="00F0376C" w:rsidRDefault="003C072A" w:rsidP="003C072A">
      <w:pPr>
        <w:jc w:val="both"/>
        <w:rPr>
          <w:rFonts w:ascii="Segoe UI" w:eastAsia="Century Gothic" w:hAnsi="Segoe UI" w:cs="Segoe UI"/>
          <w:sz w:val="20"/>
          <w:szCs w:val="20"/>
        </w:rPr>
      </w:pPr>
      <w:r w:rsidRPr="00F0376C">
        <w:rPr>
          <w:rFonts w:ascii="Segoe UI" w:eastAsia="Century Gothic" w:hAnsi="Segoe UI" w:cs="Segoe UI"/>
          <w:sz w:val="20"/>
          <w:szCs w:val="20"/>
        </w:rPr>
        <w:t>The Hellenic Growth Fund announces that it has received three (3) financial offers in the international tender for the development of the “</w:t>
      </w:r>
      <w:proofErr w:type="spellStart"/>
      <w:r w:rsidRPr="00F0376C">
        <w:rPr>
          <w:rFonts w:ascii="Segoe UI" w:eastAsia="Century Gothic" w:hAnsi="Segoe UI" w:cs="Segoe UI"/>
          <w:sz w:val="20"/>
          <w:szCs w:val="20"/>
        </w:rPr>
        <w:t>Markopoulo</w:t>
      </w:r>
      <w:proofErr w:type="spellEnd"/>
      <w:r w:rsidRPr="00F0376C">
        <w:rPr>
          <w:rFonts w:ascii="Segoe UI" w:eastAsia="Century Gothic" w:hAnsi="Segoe UI" w:cs="Segoe UI"/>
          <w:sz w:val="20"/>
          <w:szCs w:val="20"/>
        </w:rPr>
        <w:t xml:space="preserve"> Olympic Equestrian Centre” property. The site covers approximately 996,920 </w:t>
      </w:r>
      <w:proofErr w:type="spellStart"/>
      <w:r w:rsidRPr="00F0376C">
        <w:rPr>
          <w:rFonts w:ascii="Segoe UI" w:eastAsia="Century Gothic" w:hAnsi="Segoe UI" w:cs="Segoe UI"/>
          <w:sz w:val="20"/>
          <w:szCs w:val="20"/>
        </w:rPr>
        <w:t>sq.m</w:t>
      </w:r>
      <w:proofErr w:type="spellEnd"/>
      <w:r w:rsidRPr="00F0376C">
        <w:rPr>
          <w:rFonts w:ascii="Segoe UI" w:eastAsia="Century Gothic" w:hAnsi="Segoe UI" w:cs="Segoe UI"/>
          <w:sz w:val="20"/>
          <w:szCs w:val="20"/>
        </w:rPr>
        <w:t>. and is located at “</w:t>
      </w:r>
      <w:proofErr w:type="spellStart"/>
      <w:r w:rsidRPr="00F0376C">
        <w:rPr>
          <w:rFonts w:ascii="Segoe UI" w:eastAsia="Century Gothic" w:hAnsi="Segoe UI" w:cs="Segoe UI"/>
          <w:sz w:val="20"/>
          <w:szCs w:val="20"/>
        </w:rPr>
        <w:t>Pousi</w:t>
      </w:r>
      <w:proofErr w:type="spellEnd"/>
      <w:r w:rsidRPr="00F0376C">
        <w:rPr>
          <w:rFonts w:ascii="Segoe UI" w:eastAsia="Century Gothic" w:hAnsi="Segoe UI" w:cs="Segoe UI"/>
          <w:sz w:val="20"/>
          <w:szCs w:val="20"/>
        </w:rPr>
        <w:t xml:space="preserve"> </w:t>
      </w:r>
      <w:proofErr w:type="spellStart"/>
      <w:r w:rsidRPr="00F0376C">
        <w:rPr>
          <w:rFonts w:ascii="Segoe UI" w:eastAsia="Century Gothic" w:hAnsi="Segoe UI" w:cs="Segoe UI"/>
          <w:sz w:val="20"/>
          <w:szCs w:val="20"/>
        </w:rPr>
        <w:t>Bartzi</w:t>
      </w:r>
      <w:proofErr w:type="spellEnd"/>
      <w:r w:rsidRPr="00F0376C">
        <w:rPr>
          <w:rFonts w:ascii="Segoe UI" w:eastAsia="Century Gothic" w:hAnsi="Segoe UI" w:cs="Segoe UI"/>
          <w:sz w:val="20"/>
          <w:szCs w:val="20"/>
        </w:rPr>
        <w:t xml:space="preserve"> – </w:t>
      </w:r>
      <w:proofErr w:type="spellStart"/>
      <w:r w:rsidRPr="00F0376C">
        <w:rPr>
          <w:rFonts w:ascii="Segoe UI" w:eastAsia="Century Gothic" w:hAnsi="Segoe UI" w:cs="Segoe UI"/>
          <w:sz w:val="20"/>
          <w:szCs w:val="20"/>
        </w:rPr>
        <w:t>Merenta</w:t>
      </w:r>
      <w:proofErr w:type="spellEnd"/>
      <w:r w:rsidRPr="00F0376C">
        <w:rPr>
          <w:rFonts w:ascii="Segoe UI" w:eastAsia="Century Gothic" w:hAnsi="Segoe UI" w:cs="Segoe UI"/>
          <w:sz w:val="20"/>
          <w:szCs w:val="20"/>
        </w:rPr>
        <w:t xml:space="preserve">” in the Municipality of </w:t>
      </w:r>
      <w:proofErr w:type="spellStart"/>
      <w:r w:rsidRPr="00F0376C">
        <w:rPr>
          <w:rFonts w:ascii="Segoe UI" w:eastAsia="Century Gothic" w:hAnsi="Segoe UI" w:cs="Segoe UI"/>
          <w:sz w:val="20"/>
          <w:szCs w:val="20"/>
        </w:rPr>
        <w:t>Markopoulo</w:t>
      </w:r>
      <w:proofErr w:type="spellEnd"/>
      <w:r w:rsidRPr="00F0376C">
        <w:rPr>
          <w:rFonts w:ascii="Segoe UI" w:eastAsia="Century Gothic" w:hAnsi="Segoe UI" w:cs="Segoe UI"/>
          <w:sz w:val="20"/>
          <w:szCs w:val="20"/>
        </w:rPr>
        <w:t xml:space="preserve"> Mesogaias, East Attica.</w:t>
      </w:r>
    </w:p>
    <w:p w14:paraId="0A03FB4A" w14:textId="77777777" w:rsidR="003C072A" w:rsidRPr="00F0376C" w:rsidRDefault="003C072A" w:rsidP="003C072A">
      <w:pPr>
        <w:jc w:val="both"/>
        <w:rPr>
          <w:rFonts w:ascii="Segoe UI" w:eastAsia="Century Gothic" w:hAnsi="Segoe UI" w:cs="Segoe UI"/>
          <w:sz w:val="20"/>
          <w:szCs w:val="20"/>
        </w:rPr>
      </w:pPr>
    </w:p>
    <w:p w14:paraId="55CC0B31" w14:textId="77777777" w:rsidR="003C072A" w:rsidRPr="00F0376C" w:rsidRDefault="003C072A" w:rsidP="003C072A">
      <w:pPr>
        <w:jc w:val="both"/>
        <w:rPr>
          <w:rFonts w:ascii="Segoe UI" w:eastAsia="Century Gothic" w:hAnsi="Segoe UI" w:cs="Segoe UI"/>
          <w:sz w:val="20"/>
          <w:szCs w:val="20"/>
        </w:rPr>
      </w:pPr>
      <w:r w:rsidRPr="00F0376C">
        <w:rPr>
          <w:rFonts w:ascii="Segoe UI" w:eastAsia="Century Gothic" w:hAnsi="Segoe UI" w:cs="Segoe UI"/>
          <w:sz w:val="20"/>
          <w:szCs w:val="20"/>
        </w:rPr>
        <w:t>Offers were submitted by the following companies (in alphabetical order of the Greek original):</w:t>
      </w:r>
    </w:p>
    <w:p w14:paraId="0FD63151" w14:textId="77777777" w:rsidR="003C072A" w:rsidRPr="00F0376C" w:rsidRDefault="003C072A" w:rsidP="003C072A">
      <w:pPr>
        <w:jc w:val="both"/>
        <w:rPr>
          <w:rFonts w:ascii="Segoe UI" w:eastAsia="Century Gothic" w:hAnsi="Segoe UI" w:cs="Segoe UI"/>
          <w:sz w:val="20"/>
          <w:szCs w:val="20"/>
        </w:rPr>
      </w:pPr>
    </w:p>
    <w:p w14:paraId="272EB416" w14:textId="77777777" w:rsidR="003C072A" w:rsidRPr="00F0376C" w:rsidRDefault="003C072A" w:rsidP="003C072A">
      <w:pPr>
        <w:numPr>
          <w:ilvl w:val="0"/>
          <w:numId w:val="1"/>
        </w:numPr>
        <w:jc w:val="both"/>
        <w:rPr>
          <w:rFonts w:ascii="Segoe UI" w:eastAsia="Century Gothic" w:hAnsi="Segoe UI" w:cs="Segoe UI"/>
          <w:sz w:val="20"/>
          <w:szCs w:val="20"/>
        </w:rPr>
      </w:pPr>
      <w:r w:rsidRPr="00F0376C">
        <w:rPr>
          <w:rFonts w:ascii="Segoe UI" w:eastAsia="Century Gothic" w:hAnsi="Segoe UI" w:cs="Segoe UI"/>
          <w:sz w:val="20"/>
          <w:szCs w:val="20"/>
        </w:rPr>
        <w:t>HELLENIC EQUESTRIAN FEDERATION</w:t>
      </w:r>
    </w:p>
    <w:p w14:paraId="45BF8AA8" w14:textId="77777777" w:rsidR="003C072A" w:rsidRPr="00F0376C" w:rsidRDefault="003C072A" w:rsidP="003C072A">
      <w:pPr>
        <w:numPr>
          <w:ilvl w:val="0"/>
          <w:numId w:val="1"/>
        </w:numPr>
        <w:jc w:val="both"/>
        <w:rPr>
          <w:rFonts w:ascii="Segoe UI" w:eastAsia="Century Gothic" w:hAnsi="Segoe UI" w:cs="Segoe UI"/>
          <w:sz w:val="20"/>
          <w:szCs w:val="20"/>
        </w:rPr>
      </w:pPr>
      <w:r w:rsidRPr="00F0376C">
        <w:rPr>
          <w:rFonts w:ascii="Segoe UI" w:eastAsia="Century Gothic" w:hAnsi="Segoe UI" w:cs="Segoe UI"/>
          <w:sz w:val="20"/>
          <w:szCs w:val="20"/>
        </w:rPr>
        <w:t>APLEKTON HOLDINGS Co. Ltd.</w:t>
      </w:r>
    </w:p>
    <w:p w14:paraId="603720A0" w14:textId="77777777" w:rsidR="003C072A" w:rsidRPr="00F0376C" w:rsidRDefault="003C072A" w:rsidP="003C072A">
      <w:pPr>
        <w:numPr>
          <w:ilvl w:val="0"/>
          <w:numId w:val="1"/>
        </w:numPr>
        <w:jc w:val="both"/>
        <w:rPr>
          <w:rFonts w:ascii="Segoe UI" w:eastAsia="Century Gothic" w:hAnsi="Segoe UI" w:cs="Segoe UI"/>
          <w:sz w:val="20"/>
          <w:szCs w:val="20"/>
        </w:rPr>
      </w:pPr>
      <w:r w:rsidRPr="00F0376C">
        <w:rPr>
          <w:rFonts w:ascii="Segoe UI" w:eastAsia="Century Gothic" w:hAnsi="Segoe UI" w:cs="Segoe UI"/>
          <w:sz w:val="20"/>
          <w:szCs w:val="20"/>
        </w:rPr>
        <w:t>ELIA CORPORATION S.A.</w:t>
      </w:r>
    </w:p>
    <w:p w14:paraId="3DEB92E9" w14:textId="77777777" w:rsidR="003C072A" w:rsidRPr="00F0376C" w:rsidRDefault="003C072A" w:rsidP="003C072A">
      <w:pPr>
        <w:jc w:val="both"/>
        <w:rPr>
          <w:rFonts w:ascii="Segoe UI" w:eastAsia="Century Gothic" w:hAnsi="Segoe UI" w:cs="Segoe UI"/>
          <w:sz w:val="20"/>
          <w:szCs w:val="20"/>
        </w:rPr>
      </w:pPr>
    </w:p>
    <w:p w14:paraId="116FC6FE" w14:textId="77777777" w:rsidR="003C072A" w:rsidRPr="00F0376C" w:rsidRDefault="003C072A" w:rsidP="003C072A">
      <w:pPr>
        <w:jc w:val="both"/>
        <w:rPr>
          <w:rFonts w:ascii="Segoe UI" w:eastAsia="Century Gothic" w:hAnsi="Segoe UI" w:cs="Segoe UI"/>
          <w:sz w:val="20"/>
          <w:szCs w:val="20"/>
        </w:rPr>
      </w:pPr>
      <w:r w:rsidRPr="00F0376C">
        <w:rPr>
          <w:rFonts w:ascii="Segoe UI" w:eastAsia="Century Gothic" w:hAnsi="Segoe UI" w:cs="Segoe UI"/>
          <w:sz w:val="20"/>
          <w:szCs w:val="20"/>
        </w:rPr>
        <w:t>The offers will be opened at one of the upcoming meetings of the Hellenic Growth Fund’s Board of Directors.</w:t>
      </w:r>
    </w:p>
    <w:p w14:paraId="0831C9A8" w14:textId="77777777" w:rsidR="003C072A" w:rsidRPr="00F0376C" w:rsidRDefault="003C072A" w:rsidP="003C072A">
      <w:pPr>
        <w:jc w:val="both"/>
        <w:rPr>
          <w:rFonts w:ascii="Segoe UI" w:eastAsia="Century Gothic" w:hAnsi="Segoe UI" w:cs="Segoe UI"/>
          <w:sz w:val="20"/>
          <w:szCs w:val="20"/>
        </w:rPr>
      </w:pPr>
    </w:p>
    <w:p w14:paraId="7911DB2A" w14:textId="77777777" w:rsidR="003C072A" w:rsidRPr="00F0376C" w:rsidRDefault="003C072A" w:rsidP="003C072A">
      <w:pPr>
        <w:jc w:val="both"/>
        <w:rPr>
          <w:rFonts w:ascii="Segoe UI" w:eastAsia="Century Gothic" w:hAnsi="Segoe UI" w:cs="Segoe UI"/>
          <w:sz w:val="20"/>
          <w:szCs w:val="20"/>
        </w:rPr>
      </w:pPr>
      <w:r w:rsidRPr="00F0376C">
        <w:rPr>
          <w:rFonts w:ascii="Segoe UI" w:eastAsia="Century Gothic" w:hAnsi="Segoe UI" w:cs="Segoe UI"/>
          <w:sz w:val="20"/>
          <w:szCs w:val="20"/>
        </w:rPr>
        <w:t>Under the terms of the Invitation to Submit Offers dated 5 December 2025, the property will be developed through the creation and transfer of a 99-year surface right.</w:t>
      </w:r>
    </w:p>
    <w:p w14:paraId="3D11CFBF" w14:textId="77777777" w:rsidR="003C072A" w:rsidRPr="00F0376C" w:rsidRDefault="003C072A" w:rsidP="003C072A">
      <w:pPr>
        <w:jc w:val="both"/>
        <w:rPr>
          <w:rFonts w:ascii="Segoe UI" w:eastAsia="Century Gothic" w:hAnsi="Segoe UI" w:cs="Segoe UI"/>
          <w:sz w:val="20"/>
          <w:szCs w:val="20"/>
        </w:rPr>
      </w:pPr>
    </w:p>
    <w:p w14:paraId="6F5BA508" w14:textId="77777777" w:rsidR="003C072A" w:rsidRPr="00F0376C" w:rsidRDefault="003C072A" w:rsidP="003C072A">
      <w:pPr>
        <w:jc w:val="both"/>
        <w:rPr>
          <w:rFonts w:ascii="Segoe UI" w:eastAsia="Century Gothic" w:hAnsi="Segoe UI" w:cs="Segoe UI"/>
          <w:sz w:val="20"/>
          <w:szCs w:val="20"/>
        </w:rPr>
      </w:pPr>
      <w:r w:rsidRPr="00F0376C">
        <w:rPr>
          <w:rFonts w:ascii="Segoe UI" w:eastAsia="Century Gothic" w:hAnsi="Segoe UI" w:cs="Segoe UI"/>
          <w:sz w:val="20"/>
          <w:szCs w:val="20"/>
        </w:rPr>
        <w:t xml:space="preserve">The property was built for, and first used during, the 2004 Olympic Games. It combines indoor and outdoor facilities for equestrian sport, including stables, arenas and an administration building, among others. It lies within the archaeological site of the ancient settlement of </w:t>
      </w:r>
      <w:proofErr w:type="spellStart"/>
      <w:r w:rsidRPr="00F0376C">
        <w:rPr>
          <w:rFonts w:ascii="Segoe UI" w:eastAsia="Century Gothic" w:hAnsi="Segoe UI" w:cs="Segoe UI"/>
          <w:sz w:val="20"/>
          <w:szCs w:val="20"/>
        </w:rPr>
        <w:t>Myrrhinous</w:t>
      </w:r>
      <w:proofErr w:type="spellEnd"/>
      <w:r w:rsidRPr="00F0376C">
        <w:rPr>
          <w:rFonts w:ascii="Segoe UI" w:eastAsia="Century Gothic" w:hAnsi="Segoe UI" w:cs="Segoe UI"/>
          <w:sz w:val="20"/>
          <w:szCs w:val="20"/>
        </w:rPr>
        <w:t xml:space="preserve"> and borders the Racecourse to the east.</w:t>
      </w:r>
    </w:p>
    <w:p w14:paraId="29D70B29" w14:textId="77777777" w:rsidR="003C072A" w:rsidRPr="00F0376C" w:rsidRDefault="003C072A" w:rsidP="003C072A">
      <w:pPr>
        <w:jc w:val="both"/>
        <w:rPr>
          <w:rFonts w:ascii="Segoe UI" w:eastAsia="Century Gothic" w:hAnsi="Segoe UI" w:cs="Segoe UI"/>
          <w:sz w:val="20"/>
          <w:szCs w:val="20"/>
        </w:rPr>
      </w:pPr>
    </w:p>
    <w:p w14:paraId="39D3E30F" w14:textId="77777777" w:rsidR="003C072A" w:rsidRPr="00F0376C" w:rsidRDefault="003C072A" w:rsidP="003C072A">
      <w:pPr>
        <w:jc w:val="both"/>
        <w:rPr>
          <w:rFonts w:ascii="Segoe UI" w:eastAsia="Century Gothic" w:hAnsi="Segoe UI" w:cs="Segoe UI"/>
          <w:sz w:val="20"/>
          <w:szCs w:val="20"/>
        </w:rPr>
      </w:pPr>
      <w:r w:rsidRPr="00F0376C">
        <w:rPr>
          <w:rFonts w:ascii="Segoe UI" w:eastAsia="Century Gothic" w:hAnsi="Segoe UI" w:cs="Segoe UI"/>
          <w:sz w:val="20"/>
          <w:szCs w:val="20"/>
        </w:rPr>
        <w:t>Under Law 3342/2005 on post-Olympic use, in addition to the existing facilities, the following may be built: an entrance lodge with toilets, a ticket office, a golf course, an equestrian museum, riding and jockey schools, equestrian shops, exhibition, dining and auction areas, a hotel, a heliport, a park suitable for triathlon and leisure riding, and parking areas.</w:t>
      </w:r>
    </w:p>
    <w:p w14:paraId="7877CC04" w14:textId="77777777" w:rsidR="003F58E1" w:rsidRDefault="003F58E1">
      <w:pPr>
        <w:rPr>
          <w:rFonts w:ascii="Segoe UI" w:hAnsi="Segoe UI" w:cs="Segoe UI"/>
          <w:sz w:val="20"/>
          <w:szCs w:val="20"/>
        </w:rPr>
      </w:pPr>
    </w:p>
    <w:p w14:paraId="51575E02" w14:textId="77777777" w:rsidR="00F0376C" w:rsidRPr="001824E5" w:rsidRDefault="00F0376C" w:rsidP="00F0376C">
      <w:pPr>
        <w:jc w:val="both"/>
        <w:rPr>
          <w:rFonts w:ascii="Segoe UI" w:eastAsia="Century Gothic" w:hAnsi="Segoe UI" w:cs="Segoe UI"/>
          <w:b/>
          <w:bCs/>
          <w:sz w:val="16"/>
          <w:szCs w:val="16"/>
          <w:lang w:val="en-US"/>
        </w:rPr>
      </w:pPr>
    </w:p>
    <w:p w14:paraId="1FBE5CD4" w14:textId="77777777" w:rsidR="00F0376C" w:rsidRPr="001824E5" w:rsidRDefault="00F0376C" w:rsidP="00F0376C">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For more information, please contact: </w:t>
      </w:r>
    </w:p>
    <w:p w14:paraId="64FBEC48" w14:textId="77777777" w:rsidR="00F0376C" w:rsidRPr="001824E5" w:rsidRDefault="00F0376C" w:rsidP="00F0376C">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lastRenderedPageBreak/>
        <w:t xml:space="preserve">GROWTHFUND, Anthi Trokoudi, Director of Communications &amp; Sustainability, +30 6932 100053, </w:t>
      </w:r>
      <w:hyperlink r:id="rId7">
        <w:r w:rsidRPr="001824E5">
          <w:rPr>
            <w:rFonts w:ascii="Segoe UI" w:eastAsia="Century Gothic" w:hAnsi="Segoe UI" w:cs="Segoe UI"/>
            <w:b/>
            <w:bCs/>
            <w:i/>
            <w:iCs/>
            <w:color w:val="1155CC"/>
            <w:sz w:val="16"/>
            <w:szCs w:val="16"/>
            <w:u w:val="single"/>
          </w:rPr>
          <w:t>A.Trokoudi@growthfund.gr</w:t>
        </w:r>
      </w:hyperlink>
      <w:r w:rsidRPr="001824E5">
        <w:rPr>
          <w:rFonts w:ascii="Segoe UI" w:eastAsia="Century Gothic" w:hAnsi="Segoe UI" w:cs="Segoe UI"/>
          <w:b/>
          <w:bCs/>
          <w:i/>
          <w:iCs/>
          <w:sz w:val="16"/>
          <w:szCs w:val="16"/>
        </w:rPr>
        <w:t xml:space="preserve"> </w:t>
      </w:r>
    </w:p>
    <w:p w14:paraId="2FA479FF" w14:textId="77777777" w:rsidR="00F0376C" w:rsidRPr="001824E5" w:rsidRDefault="00F0376C" w:rsidP="00F0376C">
      <w:pPr>
        <w:jc w:val="both"/>
        <w:rPr>
          <w:rFonts w:ascii="Segoe UI" w:eastAsia="Century Gothic" w:hAnsi="Segoe UI" w:cs="Segoe UI"/>
          <w:b/>
          <w:bCs/>
          <w:i/>
          <w:iCs/>
          <w:sz w:val="16"/>
          <w:szCs w:val="16"/>
        </w:rPr>
      </w:pPr>
      <w:r w:rsidRPr="001824E5">
        <w:rPr>
          <w:rFonts w:ascii="Segoe UI" w:eastAsia="Century Gothic" w:hAnsi="Segoe UI" w:cs="Segoe UI"/>
          <w:b/>
          <w:bCs/>
          <w:i/>
          <w:iCs/>
          <w:sz w:val="16"/>
          <w:szCs w:val="16"/>
        </w:rPr>
        <w:t xml:space="preserve">SOCIALDOO, Konstantina Iliopoulou, Director of Corporate Relations, +30 6974 894411, </w:t>
      </w:r>
      <w:hyperlink r:id="rId8">
        <w:r w:rsidRPr="001824E5">
          <w:rPr>
            <w:rFonts w:ascii="Segoe UI" w:eastAsia="Century Gothic" w:hAnsi="Segoe UI" w:cs="Segoe UI"/>
            <w:b/>
            <w:bCs/>
            <w:i/>
            <w:iCs/>
            <w:color w:val="1155CC"/>
            <w:sz w:val="16"/>
            <w:szCs w:val="16"/>
            <w:u w:val="single"/>
          </w:rPr>
          <w:t>kiliopoulou@socialdoo.gr</w:t>
        </w:r>
      </w:hyperlink>
    </w:p>
    <w:p w14:paraId="2B9D6C7A" w14:textId="77777777" w:rsidR="00F0376C" w:rsidRPr="00F0376C" w:rsidRDefault="00F0376C">
      <w:pPr>
        <w:rPr>
          <w:rFonts w:ascii="Segoe UI" w:hAnsi="Segoe UI" w:cs="Segoe UI"/>
          <w:sz w:val="20"/>
          <w:szCs w:val="20"/>
        </w:rPr>
      </w:pPr>
    </w:p>
    <w:sectPr w:rsidR="00F0376C" w:rsidRPr="00F0376C" w:rsidSect="003F58E1">
      <w:headerReference w:type="default" r:id="rId9"/>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F9904" w14:textId="77777777" w:rsidR="00C22B2E" w:rsidRDefault="00C22B2E" w:rsidP="00F0376C">
      <w:pPr>
        <w:spacing w:line="240" w:lineRule="auto"/>
      </w:pPr>
      <w:r>
        <w:separator/>
      </w:r>
    </w:p>
  </w:endnote>
  <w:endnote w:type="continuationSeparator" w:id="0">
    <w:p w14:paraId="4F2F5032" w14:textId="77777777" w:rsidR="00C22B2E" w:rsidRDefault="00C22B2E" w:rsidP="00F037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57EEA" w14:textId="77777777" w:rsidR="00C22B2E" w:rsidRDefault="00C22B2E" w:rsidP="00F0376C">
      <w:pPr>
        <w:spacing w:line="240" w:lineRule="auto"/>
      </w:pPr>
      <w:r>
        <w:separator/>
      </w:r>
    </w:p>
  </w:footnote>
  <w:footnote w:type="continuationSeparator" w:id="0">
    <w:p w14:paraId="67425A29" w14:textId="77777777" w:rsidR="00C22B2E" w:rsidRDefault="00C22B2E" w:rsidP="00F037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7104" w14:textId="5A865C00" w:rsidR="00F0376C" w:rsidRDefault="00F0376C" w:rsidP="00F0376C">
    <w:pPr>
      <w:pStyle w:val="aa"/>
      <w:jc w:val="center"/>
    </w:pPr>
    <w:r>
      <w:rPr>
        <w:noProof/>
      </w:rPr>
      <w:drawing>
        <wp:inline distT="0" distB="0" distL="0" distR="0" wp14:anchorId="34FA18BF" wp14:editId="79941FD7">
          <wp:extent cx="4263948" cy="2385060"/>
          <wp:effectExtent l="0" t="0" r="3810" b="0"/>
          <wp:docPr id="119384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4239" cy="2390817"/>
                  </a:xfrm>
                  <a:prstGeom prst="rect">
                    <a:avLst/>
                  </a:prstGeom>
                  <a:noFill/>
                  <a:ln>
                    <a:noFill/>
                  </a:ln>
                </pic:spPr>
              </pic:pic>
            </a:graphicData>
          </a:graphic>
        </wp:inline>
      </w:drawing>
    </w:r>
  </w:p>
  <w:p w14:paraId="55498D3E" w14:textId="77777777" w:rsidR="00F0376C" w:rsidRDefault="00F0376C">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D4865"/>
    <w:multiLevelType w:val="multilevel"/>
    <w:tmpl w:val="0372A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37113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72A"/>
    <w:rsid w:val="000C17ED"/>
    <w:rsid w:val="003C072A"/>
    <w:rsid w:val="003F58E1"/>
    <w:rsid w:val="009B68F8"/>
    <w:rsid w:val="00C22B2E"/>
    <w:rsid w:val="00D26EE4"/>
    <w:rsid w:val="00DB7811"/>
    <w:rsid w:val="00F0376C"/>
    <w:rsid w:val="00F2078F"/>
    <w:rsid w:val="00F2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1BDE"/>
  <w15:chartTrackingRefBased/>
  <w15:docId w15:val="{B0D5FC9C-28F2-4C5A-8C18-AB72E188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072A"/>
    <w:pPr>
      <w:spacing w:after="0" w:line="276" w:lineRule="auto"/>
    </w:pPr>
    <w:rPr>
      <w:rFonts w:ascii="Arial" w:eastAsia="Arial" w:hAnsi="Arial" w:cs="Arial"/>
      <w:kern w:val="0"/>
      <w:sz w:val="22"/>
      <w:szCs w:val="22"/>
      <w:lang w:val="en"/>
      <w14:ligatures w14:val="none"/>
    </w:rPr>
  </w:style>
  <w:style w:type="paragraph" w:styleId="1">
    <w:name w:val="heading 1"/>
    <w:basedOn w:val="a"/>
    <w:next w:val="a"/>
    <w:link w:val="1Char"/>
    <w:uiPriority w:val="9"/>
    <w:qFormat/>
    <w:rsid w:val="003C0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C0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C07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C07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C07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C072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C072A"/>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C072A"/>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C072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C072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C072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C072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C072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C072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C072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C072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C072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C072A"/>
    <w:rPr>
      <w:rFonts w:eastAsiaTheme="majorEastAsia" w:cstheme="majorBidi"/>
      <w:color w:val="272727" w:themeColor="text1" w:themeTint="D8"/>
    </w:rPr>
  </w:style>
  <w:style w:type="paragraph" w:styleId="a3">
    <w:name w:val="Title"/>
    <w:basedOn w:val="a"/>
    <w:next w:val="a"/>
    <w:link w:val="Char"/>
    <w:uiPriority w:val="10"/>
    <w:qFormat/>
    <w:rsid w:val="003C0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C072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C072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C072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C072A"/>
    <w:pPr>
      <w:spacing w:before="160"/>
      <w:jc w:val="center"/>
    </w:pPr>
    <w:rPr>
      <w:i/>
      <w:iCs/>
      <w:color w:val="404040" w:themeColor="text1" w:themeTint="BF"/>
    </w:rPr>
  </w:style>
  <w:style w:type="character" w:customStyle="1" w:styleId="Char1">
    <w:name w:val="Απόσπασμα Char"/>
    <w:basedOn w:val="a0"/>
    <w:link w:val="a5"/>
    <w:uiPriority w:val="29"/>
    <w:rsid w:val="003C072A"/>
    <w:rPr>
      <w:i/>
      <w:iCs/>
      <w:color w:val="404040" w:themeColor="text1" w:themeTint="BF"/>
    </w:rPr>
  </w:style>
  <w:style w:type="paragraph" w:styleId="a6">
    <w:name w:val="List Paragraph"/>
    <w:basedOn w:val="a"/>
    <w:uiPriority w:val="34"/>
    <w:qFormat/>
    <w:rsid w:val="003C072A"/>
    <w:pPr>
      <w:ind w:left="720"/>
      <w:contextualSpacing/>
    </w:pPr>
  </w:style>
  <w:style w:type="character" w:styleId="a7">
    <w:name w:val="Intense Emphasis"/>
    <w:basedOn w:val="a0"/>
    <w:uiPriority w:val="21"/>
    <w:qFormat/>
    <w:rsid w:val="003C072A"/>
    <w:rPr>
      <w:i/>
      <w:iCs/>
      <w:color w:val="0F4761" w:themeColor="accent1" w:themeShade="BF"/>
    </w:rPr>
  </w:style>
  <w:style w:type="paragraph" w:styleId="a8">
    <w:name w:val="Intense Quote"/>
    <w:basedOn w:val="a"/>
    <w:next w:val="a"/>
    <w:link w:val="Char2"/>
    <w:uiPriority w:val="30"/>
    <w:qFormat/>
    <w:rsid w:val="003C0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C072A"/>
    <w:rPr>
      <w:i/>
      <w:iCs/>
      <w:color w:val="0F4761" w:themeColor="accent1" w:themeShade="BF"/>
    </w:rPr>
  </w:style>
  <w:style w:type="character" w:styleId="a9">
    <w:name w:val="Intense Reference"/>
    <w:basedOn w:val="a0"/>
    <w:uiPriority w:val="32"/>
    <w:qFormat/>
    <w:rsid w:val="003C072A"/>
    <w:rPr>
      <w:b/>
      <w:bCs/>
      <w:smallCaps/>
      <w:color w:val="0F4761" w:themeColor="accent1" w:themeShade="BF"/>
      <w:spacing w:val="5"/>
    </w:rPr>
  </w:style>
  <w:style w:type="paragraph" w:styleId="aa">
    <w:name w:val="header"/>
    <w:basedOn w:val="a"/>
    <w:link w:val="Char3"/>
    <w:uiPriority w:val="99"/>
    <w:unhideWhenUsed/>
    <w:rsid w:val="00F0376C"/>
    <w:pPr>
      <w:tabs>
        <w:tab w:val="center" w:pos="4320"/>
        <w:tab w:val="right" w:pos="8640"/>
      </w:tabs>
      <w:spacing w:line="240" w:lineRule="auto"/>
    </w:pPr>
  </w:style>
  <w:style w:type="character" w:customStyle="1" w:styleId="Char3">
    <w:name w:val="Κεφαλίδα Char"/>
    <w:basedOn w:val="a0"/>
    <w:link w:val="aa"/>
    <w:uiPriority w:val="99"/>
    <w:rsid w:val="00F0376C"/>
    <w:rPr>
      <w:rFonts w:ascii="Arial" w:eastAsia="Arial" w:hAnsi="Arial" w:cs="Arial"/>
      <w:kern w:val="0"/>
      <w:sz w:val="22"/>
      <w:szCs w:val="22"/>
      <w:lang w:val="en"/>
      <w14:ligatures w14:val="none"/>
    </w:rPr>
  </w:style>
  <w:style w:type="paragraph" w:styleId="ab">
    <w:name w:val="footer"/>
    <w:basedOn w:val="a"/>
    <w:link w:val="Char4"/>
    <w:uiPriority w:val="99"/>
    <w:unhideWhenUsed/>
    <w:rsid w:val="00F0376C"/>
    <w:pPr>
      <w:tabs>
        <w:tab w:val="center" w:pos="4320"/>
        <w:tab w:val="right" w:pos="8640"/>
      </w:tabs>
      <w:spacing w:line="240" w:lineRule="auto"/>
    </w:pPr>
  </w:style>
  <w:style w:type="character" w:customStyle="1" w:styleId="Char4">
    <w:name w:val="Υποσέλιδο Char"/>
    <w:basedOn w:val="a0"/>
    <w:link w:val="ab"/>
    <w:uiPriority w:val="99"/>
    <w:rsid w:val="00F0376C"/>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3" Type="http://schemas.openxmlformats.org/officeDocument/2006/relationships/settings" Target="settings.xml"/><Relationship Id="rId7" Type="http://schemas.openxmlformats.org/officeDocument/2006/relationships/hyperlink" Target="mailto:A.Trokoudi@growthfund.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Eleni Donou</cp:lastModifiedBy>
  <cp:revision>3</cp:revision>
  <dcterms:created xsi:type="dcterms:W3CDTF">2026-10-23T16:57:00Z</dcterms:created>
  <dcterms:modified xsi:type="dcterms:W3CDTF">2026-10-29T11:47:00Z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cc303-c827-4bc8-8096-cfbe6c892f41_Enabled">
    <vt:lpwstr>true</vt:lpwstr>
  </property>
  <property fmtid="{D5CDD505-2E9C-101B-9397-08002B2CF9AE}" pid="3" name="MSIP_Label_4a1cc303-c827-4bc8-8096-cfbe6c892f41_SetDate">
    <vt:lpwstr>2026-10-29T11:47:20Z</vt:lpwstr>
  </property>
  <property fmtid="{D5CDD505-2E9C-101B-9397-08002B2CF9AE}" pid="4" name="MSIP_Label_4a1cc303-c827-4bc8-8096-cfbe6c892f41_Method">
    <vt:lpwstr>Standard</vt:lpwstr>
  </property>
  <property fmtid="{D5CDD505-2E9C-101B-9397-08002B2CF9AE}" pid="5" name="MSIP_Label_4a1cc303-c827-4bc8-8096-cfbe6c892f41_Name">
    <vt:lpwstr>Public</vt:lpwstr>
  </property>
  <property fmtid="{D5CDD505-2E9C-101B-9397-08002B2CF9AE}" pid="6" name="MSIP_Label_4a1cc303-c827-4bc8-8096-cfbe6c892f41_SiteId">
    <vt:lpwstr>2b0fc7ca-0745-42be-85de-e8eb8234033e</vt:lpwstr>
  </property>
  <property fmtid="{D5CDD505-2E9C-101B-9397-08002B2CF9AE}" pid="7" name="MSIP_Label_4a1cc303-c827-4bc8-8096-cfbe6c892f41_ActionId">
    <vt:lpwstr>7ba50f5e-590f-44fa-aecf-39068a256b38</vt:lpwstr>
  </property>
  <property fmtid="{D5CDD505-2E9C-101B-9397-08002B2CF9AE}" pid="8" name="MSIP_Label_4a1cc303-c827-4bc8-8096-cfbe6c892f41_ContentBits">
    <vt:lpwstr>0</vt:lpwstr>
  </property>
  <property fmtid="{D5CDD505-2E9C-101B-9397-08002B2CF9AE}" pid="9" name="MSIP_Label_4a1cc303-c827-4bc8-8096-cfbe6c892f41_Tag">
    <vt:lpwstr>10, 3, 0, 1</vt:lpwstr>
  </property>
</Properties>
</file>